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31C53181"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r w:rsidRPr="009A491C">
        <w:rPr>
          <w:noProof/>
        </w:rPr>
        <w:drawing>
          <wp:anchor distT="36576" distB="36576" distL="36576" distR="36576" simplePos="0" relativeHeight="252016640" behindDoc="0" locked="0" layoutInCell="1" allowOverlap="1" wp14:anchorId="3D180BAD" wp14:editId="29DBCD64">
            <wp:simplePos x="0" y="0"/>
            <wp:positionH relativeFrom="column">
              <wp:posOffset>0</wp:posOffset>
            </wp:positionH>
            <wp:positionV relativeFrom="paragraph">
              <wp:posOffset>49530</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491C">
        <w:rPr>
          <w:noProof/>
        </w:rPr>
        <mc:AlternateContent>
          <mc:Choice Requires="wps">
            <w:drawing>
              <wp:anchor distT="45720" distB="45720" distL="114300" distR="114300" simplePos="0" relativeHeight="252017664" behindDoc="0" locked="0" layoutInCell="1" allowOverlap="1" wp14:anchorId="23596860" wp14:editId="4AB3B235">
                <wp:simplePos x="0" y="0"/>
                <wp:positionH relativeFrom="column">
                  <wp:posOffset>4144645</wp:posOffset>
                </wp:positionH>
                <wp:positionV relativeFrom="paragraph">
                  <wp:posOffset>138430</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6.35pt;margin-top:10.9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p>
    <w:p w14:paraId="271FC14F" w14:textId="279DA707" w:rsidR="009D64C5" w:rsidRDefault="009D64C5" w:rsidP="009D64C5">
      <w:pPr>
        <w:pStyle w:val="BodyText"/>
      </w:pPr>
    </w:p>
    <w:p w14:paraId="4697BC6E" w14:textId="191821A6" w:rsidR="00310692" w:rsidRDefault="00310692" w:rsidP="009D64C5">
      <w:pPr>
        <w:pStyle w:val="BodyText"/>
      </w:pPr>
    </w:p>
    <w:p w14:paraId="03E4C3BB" w14:textId="7D408653" w:rsidR="00310692" w:rsidRPr="00310692" w:rsidRDefault="00310692" w:rsidP="009D64C5">
      <w:pPr>
        <w:pStyle w:val="BodyText"/>
      </w:pPr>
    </w:p>
    <w:p w14:paraId="3C04CD58" w14:textId="7278ED3C" w:rsidR="00B54494" w:rsidRPr="00210B21" w:rsidRDefault="00B51513" w:rsidP="009D64C5">
      <w:pPr>
        <w:pStyle w:val="Heading1"/>
        <w:numPr>
          <w:ilvl w:val="0"/>
          <w:numId w:val="0"/>
        </w:numPr>
        <w:ind w:left="431" w:hanging="431"/>
        <w:rPr>
          <w:lang w:val="en-AU"/>
        </w:rPr>
      </w:pPr>
      <w:bookmarkStart w:id="10" w:name="_Toc137620537"/>
      <w:bookmarkEnd w:id="0"/>
      <w:r w:rsidRPr="00210B21">
        <w:rPr>
          <w:lang w:val="en-AU"/>
        </w:rPr>
        <w:t>Step 6</w:t>
      </w:r>
      <w:r w:rsidR="00014841" w:rsidRPr="00210B21">
        <w:rPr>
          <w:lang w:val="en-AU"/>
        </w:rPr>
        <w:t xml:space="preserve"> -</w:t>
      </w:r>
      <w:r w:rsidRPr="00210B21">
        <w:rPr>
          <w:lang w:val="en-AU"/>
        </w:rPr>
        <w:t xml:space="preserve"> Legislative Assessment</w:t>
      </w:r>
      <w:bookmarkEnd w:id="10"/>
    </w:p>
    <w:tbl>
      <w:tblPr>
        <w:tblStyle w:val="TableGrid"/>
        <w:tblW w:w="14596" w:type="dxa"/>
        <w:tblLook w:val="04A0" w:firstRow="1" w:lastRow="0" w:firstColumn="1" w:lastColumn="0" w:noHBand="0" w:noVBand="1"/>
      </w:tblPr>
      <w:tblGrid>
        <w:gridCol w:w="2374"/>
        <w:gridCol w:w="4284"/>
        <w:gridCol w:w="1813"/>
        <w:gridCol w:w="1022"/>
        <w:gridCol w:w="2551"/>
        <w:gridCol w:w="2552"/>
      </w:tblGrid>
      <w:tr w:rsidR="00863139" w:rsidRPr="00210B21" w14:paraId="187B626B" w14:textId="77777777" w:rsidTr="00863139">
        <w:tc>
          <w:tcPr>
            <w:tcW w:w="6658" w:type="dxa"/>
            <w:gridSpan w:val="2"/>
            <w:shd w:val="clear" w:color="auto" w:fill="FBE4D5" w:themeFill="accent2" w:themeFillTint="33"/>
          </w:tcPr>
          <w:p w14:paraId="187D0A20" w14:textId="1C7A96BB" w:rsidR="00863139" w:rsidRPr="00210B21" w:rsidRDefault="00863139"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6487D0DB" w14:textId="315D4B9C" w:rsidR="00863139" w:rsidRPr="00210B21" w:rsidRDefault="00863139"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Effective scheme legislation will provide for stakeholder confidence, consumer engagement, effectiveness</w:t>
            </w:r>
            <w:r>
              <w:rPr>
                <w:rFonts w:ascii="Calibri" w:hAnsi="Calibri" w:cs="Calibri"/>
                <w:sz w:val="20"/>
                <w:szCs w:val="20"/>
                <w:lang w:val="en-AU"/>
              </w:rPr>
              <w:t>,</w:t>
            </w:r>
            <w:r w:rsidRPr="00210B21">
              <w:rPr>
                <w:rFonts w:ascii="Calibri" w:hAnsi="Calibri" w:cs="Calibri"/>
                <w:sz w:val="20"/>
                <w:szCs w:val="20"/>
                <w:lang w:val="en-AU"/>
              </w:rPr>
              <w:t xml:space="preserve"> equality</w:t>
            </w:r>
            <w:r>
              <w:rPr>
                <w:rFonts w:ascii="Calibri" w:hAnsi="Calibri" w:cs="Calibri"/>
                <w:sz w:val="20"/>
                <w:szCs w:val="20"/>
                <w:lang w:val="en-AU"/>
              </w:rPr>
              <w:t>, and ability to enforce compliance of the scheme</w:t>
            </w:r>
            <w:r w:rsidRPr="00210B21">
              <w:rPr>
                <w:rFonts w:ascii="Calibri" w:hAnsi="Calibri" w:cs="Calibri"/>
                <w:sz w:val="20"/>
                <w:szCs w:val="20"/>
                <w:lang w:val="en-AU"/>
              </w:rPr>
              <w:t>.  Scheme legislation will reflect all aspects of scheme design.</w:t>
            </w:r>
          </w:p>
          <w:p w14:paraId="49644BF5" w14:textId="77777777" w:rsidR="00863139" w:rsidRPr="00210B21" w:rsidRDefault="00863139" w:rsidP="002570AE">
            <w:pPr>
              <w:spacing w:after="60" w:line="259" w:lineRule="auto"/>
              <w:rPr>
                <w:rFonts w:ascii="Calibri" w:hAnsi="Calibri" w:cs="Calibri"/>
                <w:sz w:val="20"/>
                <w:szCs w:val="20"/>
                <w:lang w:val="en-AU"/>
              </w:rPr>
            </w:pPr>
          </w:p>
          <w:p w14:paraId="27C2CD26" w14:textId="012A4CCD" w:rsidR="00863139" w:rsidRPr="00210B21" w:rsidRDefault="00863139"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This step </w:t>
            </w:r>
            <w:r w:rsidRPr="00210B21">
              <w:rPr>
                <w:rFonts w:ascii="Calibri" w:hAnsi="Calibri" w:cs="Calibri"/>
                <w:sz w:val="20"/>
                <w:szCs w:val="20"/>
                <w:lang w:val="en-AU"/>
              </w:rPr>
              <w:t xml:space="preserve">will </w:t>
            </w:r>
            <w:r>
              <w:rPr>
                <w:rFonts w:ascii="Calibri" w:hAnsi="Calibri" w:cs="Calibri"/>
                <w:sz w:val="20"/>
                <w:szCs w:val="20"/>
                <w:lang w:val="en-AU"/>
              </w:rPr>
              <w:t>help</w:t>
            </w:r>
            <w:r w:rsidRPr="00210B21">
              <w:rPr>
                <w:rFonts w:ascii="Calibri" w:hAnsi="Calibri" w:cs="Calibri"/>
                <w:sz w:val="20"/>
                <w:szCs w:val="20"/>
                <w:lang w:val="en-AU"/>
              </w:rPr>
              <w:t xml:space="preserve"> to identify what legislation and regulations may be </w:t>
            </w:r>
            <w:r>
              <w:rPr>
                <w:rFonts w:ascii="Calibri" w:hAnsi="Calibri" w:cs="Calibri"/>
                <w:sz w:val="20"/>
                <w:szCs w:val="20"/>
                <w:lang w:val="en-AU"/>
              </w:rPr>
              <w:t xml:space="preserve">required for the proposed </w:t>
            </w:r>
            <w:r w:rsidRPr="00210B21">
              <w:rPr>
                <w:rFonts w:ascii="Calibri" w:hAnsi="Calibri" w:cs="Calibri"/>
                <w:sz w:val="20"/>
                <w:szCs w:val="20"/>
                <w:lang w:val="en-AU"/>
              </w:rPr>
              <w:t xml:space="preserve">ARFD scheme. Topics included in this step are: </w:t>
            </w:r>
          </w:p>
          <w:p w14:paraId="3BE5E8AB" w14:textId="77777777" w:rsidR="00863139" w:rsidRDefault="00863139" w:rsidP="00566DB7">
            <w:pPr>
              <w:pStyle w:val="ListParagraph"/>
              <w:numPr>
                <w:ilvl w:val="0"/>
                <w:numId w:val="29"/>
              </w:numPr>
              <w:spacing w:after="60" w:line="259" w:lineRule="auto"/>
              <w:rPr>
                <w:rFonts w:ascii="Calibri" w:hAnsi="Calibri" w:cs="Calibri"/>
                <w:sz w:val="20"/>
                <w:szCs w:val="20"/>
                <w:lang w:val="en-AU"/>
              </w:rPr>
            </w:pPr>
            <w:r w:rsidRPr="00210B21">
              <w:rPr>
                <w:rFonts w:ascii="Calibri" w:hAnsi="Calibri" w:cs="Calibri"/>
                <w:sz w:val="20"/>
                <w:szCs w:val="20"/>
                <w:lang w:val="en-AU"/>
              </w:rPr>
              <w:t>Identifying aspects of scheme best captured in legislation and regulation</w:t>
            </w:r>
          </w:p>
          <w:p w14:paraId="33EEE0E5" w14:textId="4671A6E2" w:rsidR="00863139" w:rsidRPr="00210B21" w:rsidRDefault="00863139" w:rsidP="00566DB7">
            <w:pPr>
              <w:pStyle w:val="ListParagraph"/>
              <w:numPr>
                <w:ilvl w:val="0"/>
                <w:numId w:val="29"/>
              </w:numPr>
              <w:spacing w:after="60" w:line="259" w:lineRule="auto"/>
              <w:rPr>
                <w:rFonts w:ascii="Calibri" w:hAnsi="Calibri" w:cs="Calibri"/>
                <w:sz w:val="20"/>
                <w:szCs w:val="20"/>
                <w:lang w:val="en-AU"/>
              </w:rPr>
            </w:pPr>
            <w:r>
              <w:rPr>
                <w:rFonts w:ascii="Calibri" w:hAnsi="Calibri" w:cs="Calibri"/>
                <w:sz w:val="20"/>
                <w:szCs w:val="20"/>
                <w:lang w:val="en-AU"/>
              </w:rPr>
              <w:t xml:space="preserve">Assessment of GEDSI dimensions in scheme legislation </w:t>
            </w:r>
          </w:p>
          <w:p w14:paraId="0FFA3F73" w14:textId="02E81C99" w:rsidR="00863139" w:rsidRPr="00210B21" w:rsidRDefault="00863139" w:rsidP="008B7DEC">
            <w:pPr>
              <w:pStyle w:val="ListParagraph"/>
              <w:numPr>
                <w:ilvl w:val="0"/>
                <w:numId w:val="29"/>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Determine options for where ARFD legislation can fit into existing legal environment to identify what Identify key principles to be included in ARFD </w:t>
            </w:r>
            <w:r>
              <w:rPr>
                <w:rFonts w:ascii="Calibri" w:hAnsi="Calibri" w:cs="Calibri"/>
                <w:sz w:val="20"/>
                <w:szCs w:val="20"/>
                <w:lang w:val="en-AU"/>
              </w:rPr>
              <w:t>l</w:t>
            </w:r>
            <w:r w:rsidRPr="008B7DEC">
              <w:rPr>
                <w:rFonts w:ascii="Calibri" w:hAnsi="Calibri" w:cs="Calibri"/>
                <w:sz w:val="20"/>
                <w:szCs w:val="20"/>
                <w:lang w:val="en-AU"/>
              </w:rPr>
              <w:t xml:space="preserve">egislative </w:t>
            </w:r>
            <w:r>
              <w:rPr>
                <w:rFonts w:ascii="Calibri" w:hAnsi="Calibri" w:cs="Calibri"/>
                <w:sz w:val="20"/>
                <w:szCs w:val="20"/>
                <w:lang w:val="en-AU"/>
              </w:rPr>
              <w:t>i</w:t>
            </w:r>
            <w:r w:rsidRPr="008B7DEC">
              <w:rPr>
                <w:rFonts w:ascii="Calibri" w:hAnsi="Calibri" w:cs="Calibri"/>
                <w:sz w:val="20"/>
                <w:szCs w:val="20"/>
                <w:lang w:val="en-AU"/>
              </w:rPr>
              <w:t>nstruments</w:t>
            </w:r>
          </w:p>
        </w:tc>
        <w:tc>
          <w:tcPr>
            <w:tcW w:w="2835" w:type="dxa"/>
            <w:gridSpan w:val="2"/>
            <w:shd w:val="clear" w:color="auto" w:fill="FBE4D5" w:themeFill="accent2" w:themeFillTint="33"/>
          </w:tcPr>
          <w:p w14:paraId="0E60DFBE" w14:textId="0D41A4C6" w:rsidR="00863139" w:rsidRPr="00210B21" w:rsidRDefault="00863139"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7EB9F844" w14:textId="77777777" w:rsidR="009E30ED" w:rsidRPr="00A5765F" w:rsidRDefault="009E30ED" w:rsidP="009E30ED">
            <w:pPr>
              <w:pStyle w:val="ListParagraph"/>
              <w:numPr>
                <w:ilvl w:val="0"/>
                <w:numId w:val="155"/>
              </w:numPr>
              <w:spacing w:after="60" w:line="259" w:lineRule="auto"/>
              <w:rPr>
                <w:rFonts w:ascii="Calibri" w:hAnsi="Calibri" w:cs="Calibri"/>
                <w:b/>
                <w:bCs/>
                <w:sz w:val="20"/>
                <w:szCs w:val="20"/>
                <w:lang w:val="en-AU"/>
              </w:rPr>
            </w:pPr>
            <w:r w:rsidRPr="00A5765F">
              <w:rPr>
                <w:rFonts w:ascii="Calibri" w:hAnsi="Calibri" w:cs="Calibri"/>
                <w:sz w:val="20"/>
                <w:szCs w:val="20"/>
                <w:lang w:val="en-AU"/>
              </w:rPr>
              <w:t>Findings from the pre-feasibility study and feasibility study</w:t>
            </w:r>
          </w:p>
          <w:p w14:paraId="35744202" w14:textId="3252D79C" w:rsidR="00863139" w:rsidRPr="00863139" w:rsidRDefault="00863139" w:rsidP="009E30ED">
            <w:pPr>
              <w:pStyle w:val="ListParagraph"/>
              <w:numPr>
                <w:ilvl w:val="0"/>
                <w:numId w:val="155"/>
              </w:numPr>
              <w:spacing w:after="60" w:line="259" w:lineRule="auto"/>
              <w:rPr>
                <w:rFonts w:ascii="Calibri" w:hAnsi="Calibri" w:cs="Calibri"/>
                <w:sz w:val="20"/>
                <w:szCs w:val="20"/>
                <w:lang w:val="en-AU"/>
              </w:rPr>
            </w:pPr>
            <w:r w:rsidRPr="00863139">
              <w:rPr>
                <w:rFonts w:ascii="Calibri" w:hAnsi="Calibri" w:cs="Calibri"/>
                <w:sz w:val="20"/>
                <w:szCs w:val="20"/>
                <w:lang w:val="en-AU"/>
              </w:rPr>
              <w:t>Stakeholder consultation with legal / justice to confirm scheme legislation</w:t>
            </w:r>
          </w:p>
          <w:p w14:paraId="4815133A" w14:textId="77777777" w:rsidR="00863139" w:rsidRPr="00210B21" w:rsidRDefault="00863139" w:rsidP="002570AE">
            <w:pPr>
              <w:spacing w:after="60" w:line="259" w:lineRule="auto"/>
              <w:rPr>
                <w:rFonts w:ascii="Calibri" w:hAnsi="Calibri" w:cs="Calibri"/>
                <w:b/>
                <w:bCs/>
                <w:sz w:val="20"/>
                <w:szCs w:val="20"/>
                <w:lang w:val="en-AU"/>
              </w:rPr>
            </w:pPr>
          </w:p>
        </w:tc>
        <w:tc>
          <w:tcPr>
            <w:tcW w:w="2551" w:type="dxa"/>
            <w:tcBorders>
              <w:right w:val="nil"/>
            </w:tcBorders>
            <w:shd w:val="clear" w:color="auto" w:fill="FBE4D5" w:themeFill="accent2" w:themeFillTint="33"/>
          </w:tcPr>
          <w:p w14:paraId="6B8F835E" w14:textId="4BB5752D" w:rsidR="00863139" w:rsidRPr="00210B21" w:rsidRDefault="00863139"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1951379C" w14:textId="77777777" w:rsidR="00863139" w:rsidRDefault="00863139" w:rsidP="00863139">
            <w:pPr>
              <w:spacing w:after="60" w:line="259" w:lineRule="auto"/>
              <w:jc w:val="center"/>
              <w:rPr>
                <w:rFonts w:ascii="Calibri" w:hAnsi="Calibri" w:cs="Calibri"/>
                <w:sz w:val="20"/>
                <w:szCs w:val="20"/>
                <w:lang w:val="en-AU"/>
              </w:rPr>
            </w:pPr>
            <w:r w:rsidRPr="00630599">
              <w:rPr>
                <w:rFonts w:ascii="Calibri" w:hAnsi="Calibri" w:cs="Calibri"/>
                <w:sz w:val="20"/>
                <w:szCs w:val="20"/>
                <w:lang w:val="en-AU"/>
              </w:rPr>
              <w:t>Legislation for FSM, Kiribati, Palau, RMI, Tuvalu, NSW, Queensland</w:t>
            </w:r>
            <w:r>
              <w:rPr>
                <w:rFonts w:ascii="Calibri" w:hAnsi="Calibri" w:cs="Calibri"/>
                <w:sz w:val="20"/>
                <w:szCs w:val="20"/>
                <w:lang w:val="en-AU"/>
              </w:rPr>
              <w:t xml:space="preserve"> </w:t>
            </w:r>
            <w:r w:rsidRPr="00630599">
              <w:rPr>
                <w:rFonts w:ascii="Calibri" w:hAnsi="Calibri" w:cs="Calibri"/>
                <w:sz w:val="20"/>
                <w:szCs w:val="20"/>
                <w:lang w:val="en-AU"/>
              </w:rPr>
              <w:t>(</w:t>
            </w:r>
            <w:r>
              <w:rPr>
                <w:rFonts w:ascii="Calibri" w:hAnsi="Calibri" w:cs="Calibri"/>
                <w:sz w:val="20"/>
                <w:szCs w:val="20"/>
                <w:lang w:val="en-AU"/>
              </w:rPr>
              <w:t xml:space="preserve">request from </w:t>
            </w:r>
            <w:r w:rsidRPr="00630599">
              <w:rPr>
                <w:rFonts w:ascii="Calibri" w:hAnsi="Calibri" w:cs="Calibri"/>
                <w:sz w:val="20"/>
                <w:szCs w:val="20"/>
                <w:lang w:val="en-AU"/>
              </w:rPr>
              <w:t>SPREP / PacWaste Plus</w:t>
            </w:r>
            <w:r>
              <w:rPr>
                <w:rFonts w:ascii="Calibri" w:hAnsi="Calibri" w:cs="Calibri"/>
                <w:sz w:val="20"/>
                <w:szCs w:val="20"/>
                <w:lang w:val="en-AU"/>
              </w:rPr>
              <w:t>)</w:t>
            </w:r>
          </w:p>
          <w:p w14:paraId="16ADF28C" w14:textId="77777777" w:rsidR="00863139" w:rsidRDefault="00863139" w:rsidP="00863139">
            <w:pPr>
              <w:spacing w:after="60" w:line="259" w:lineRule="auto"/>
              <w:jc w:val="center"/>
              <w:rPr>
                <w:rFonts w:ascii="Calibri" w:hAnsi="Calibri" w:cs="Calibri"/>
                <w:b/>
                <w:bCs/>
                <w:sz w:val="20"/>
                <w:szCs w:val="20"/>
                <w:lang w:val="en-AU"/>
              </w:rPr>
            </w:pPr>
          </w:p>
        </w:tc>
        <w:tc>
          <w:tcPr>
            <w:tcW w:w="2552" w:type="dxa"/>
            <w:tcBorders>
              <w:left w:val="nil"/>
            </w:tcBorders>
            <w:shd w:val="clear" w:color="auto" w:fill="FBE4D5" w:themeFill="accent2" w:themeFillTint="33"/>
          </w:tcPr>
          <w:p w14:paraId="295D778D" w14:textId="4528DEE5" w:rsidR="00863139" w:rsidRPr="00377E35" w:rsidRDefault="00863139" w:rsidP="00863139">
            <w:pPr>
              <w:spacing w:after="60" w:line="259" w:lineRule="auto"/>
              <w:jc w:val="center"/>
              <w:rPr>
                <w:rFonts w:ascii="Calibri" w:eastAsia="Helvetica Neue" w:hAnsi="Calibri" w:cs="Calibri"/>
                <w:sz w:val="20"/>
                <w:szCs w:val="20"/>
                <w:lang w:val="en-AU"/>
              </w:rPr>
            </w:pPr>
            <w:r w:rsidRPr="00377E35">
              <w:rPr>
                <w:rFonts w:ascii="Calibri" w:eastAsia="Helvetica Neue" w:hAnsi="Calibri" w:cs="Calibri"/>
                <w:sz w:val="20"/>
                <w:szCs w:val="20"/>
                <w:lang w:val="en-AU"/>
              </w:rPr>
              <w:t>PacWaste Plus Guide for Considering GEDSI in ARFD Design</w:t>
            </w:r>
          </w:p>
          <w:p w14:paraId="7BAF8B2E" w14:textId="17C6FC3F" w:rsidR="00863139" w:rsidRPr="00863139" w:rsidRDefault="00863139" w:rsidP="00863139">
            <w:pPr>
              <w:spacing w:after="60" w:line="259" w:lineRule="auto"/>
              <w:jc w:val="center"/>
              <w:rPr>
                <w:rFonts w:ascii="Calibri" w:hAnsi="Calibri" w:cs="Calibri"/>
                <w:b/>
                <w:bCs/>
                <w:color w:val="4472C4" w:themeColor="accent1"/>
                <w:sz w:val="20"/>
                <w:szCs w:val="20"/>
                <w:lang w:val="en-AU"/>
              </w:rPr>
            </w:pPr>
            <w:r w:rsidRPr="00B91DFB">
              <w:rPr>
                <w:rFonts w:ascii="Calibri" w:hAnsi="Calibri" w:cs="Calibri"/>
                <w:b/>
                <w:bCs/>
                <w:noProof/>
                <w:color w:val="4472C4" w:themeColor="accent1"/>
                <w:sz w:val="20"/>
                <w:szCs w:val="20"/>
                <w:lang w:val="en-AU"/>
              </w:rPr>
              <w:drawing>
                <wp:inline distT="0" distB="0" distL="0" distR="0" wp14:anchorId="459938FA" wp14:editId="222BA465">
                  <wp:extent cx="899920" cy="1252416"/>
                  <wp:effectExtent l="133350" t="114300" r="128905" b="157480"/>
                  <wp:docPr id="996648848" name="Picture 9966488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87832"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899920" cy="1252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32879" w:rsidRPr="00210B21" w14:paraId="3C65F44E" w14:textId="77777777" w:rsidTr="00441288">
        <w:trPr>
          <w:trHeight w:val="206"/>
        </w:trPr>
        <w:tc>
          <w:tcPr>
            <w:tcW w:w="2374" w:type="dxa"/>
            <w:vMerge w:val="restart"/>
            <w:shd w:val="clear" w:color="auto" w:fill="FBE4D5" w:themeFill="accent2" w:themeFillTint="33"/>
          </w:tcPr>
          <w:p w14:paraId="54F21700" w14:textId="16B724AE" w:rsidR="00832879" w:rsidRPr="00271961" w:rsidRDefault="00832879" w:rsidP="00566DB7">
            <w:pPr>
              <w:pStyle w:val="ListParagraph"/>
              <w:numPr>
                <w:ilvl w:val="0"/>
                <w:numId w:val="30"/>
              </w:numPr>
              <w:spacing w:after="60" w:line="259" w:lineRule="auto"/>
              <w:ind w:left="590" w:hanging="567"/>
              <w:rPr>
                <w:rFonts w:ascii="Calibri" w:hAnsi="Calibri" w:cs="Calibri"/>
                <w:sz w:val="20"/>
                <w:szCs w:val="20"/>
                <w:lang w:val="en-AU"/>
              </w:rPr>
            </w:pPr>
            <w:r w:rsidRPr="00271961">
              <w:rPr>
                <w:rFonts w:ascii="Calibri" w:hAnsi="Calibri" w:cs="Calibri"/>
                <w:sz w:val="20"/>
                <w:szCs w:val="20"/>
                <w:lang w:val="en-AU"/>
              </w:rPr>
              <w:t>Identifying aspects of scheme best captured in legislation and regulation</w:t>
            </w:r>
          </w:p>
        </w:tc>
        <w:tc>
          <w:tcPr>
            <w:tcW w:w="12222" w:type="dxa"/>
            <w:gridSpan w:val="5"/>
          </w:tcPr>
          <w:p w14:paraId="710DE062" w14:textId="749F147A" w:rsidR="00832879" w:rsidRPr="00A672CF" w:rsidRDefault="00832879" w:rsidP="00A672CF">
            <w:pPr>
              <w:spacing w:after="60" w:line="259" w:lineRule="auto"/>
              <w:rPr>
                <w:rFonts w:ascii="Calibri" w:hAnsi="Calibri" w:cs="Calibri"/>
                <w:sz w:val="20"/>
                <w:szCs w:val="20"/>
                <w:lang w:val="en-AU"/>
              </w:rPr>
            </w:pPr>
            <w:r>
              <w:rPr>
                <w:rFonts w:ascii="Calibri" w:hAnsi="Calibri" w:cs="Calibri"/>
                <w:sz w:val="20"/>
                <w:szCs w:val="20"/>
                <w:lang w:val="en-AU"/>
              </w:rPr>
              <w:t xml:space="preserve">The below summary </w:t>
            </w:r>
            <w:r w:rsidR="00A672CF">
              <w:rPr>
                <w:rFonts w:ascii="Calibri" w:hAnsi="Calibri" w:cs="Calibri"/>
                <w:sz w:val="20"/>
                <w:szCs w:val="20"/>
                <w:lang w:val="en-AU"/>
              </w:rPr>
              <w:t>provides information on</w:t>
            </w:r>
            <w:r w:rsidRPr="00832879">
              <w:rPr>
                <w:rFonts w:ascii="Calibri" w:hAnsi="Calibri" w:cs="Calibri"/>
                <w:sz w:val="20"/>
                <w:szCs w:val="20"/>
                <w:lang w:val="en-AU"/>
              </w:rPr>
              <w:t xml:space="preserve"> aspects of scheme </w:t>
            </w:r>
            <w:r>
              <w:rPr>
                <w:rFonts w:ascii="Calibri" w:hAnsi="Calibri" w:cs="Calibri"/>
                <w:sz w:val="20"/>
                <w:szCs w:val="20"/>
                <w:lang w:val="en-AU"/>
              </w:rPr>
              <w:t xml:space="preserve">that may be best </w:t>
            </w:r>
            <w:r w:rsidRPr="00832879">
              <w:rPr>
                <w:rFonts w:ascii="Calibri" w:hAnsi="Calibri" w:cs="Calibri"/>
                <w:sz w:val="20"/>
                <w:szCs w:val="20"/>
                <w:lang w:val="en-AU"/>
              </w:rPr>
              <w:t xml:space="preserve">captured </w:t>
            </w:r>
            <w:r w:rsidR="00E55AA8">
              <w:rPr>
                <w:rFonts w:ascii="Calibri" w:hAnsi="Calibri" w:cs="Calibri"/>
                <w:sz w:val="20"/>
                <w:szCs w:val="20"/>
                <w:lang w:val="en-AU"/>
              </w:rPr>
              <w:t>by</w:t>
            </w:r>
            <w:r w:rsidRPr="00832879">
              <w:rPr>
                <w:rFonts w:ascii="Calibri" w:hAnsi="Calibri" w:cs="Calibri"/>
                <w:sz w:val="20"/>
                <w:szCs w:val="20"/>
                <w:lang w:val="en-AU"/>
              </w:rPr>
              <w:t xml:space="preserve"> </w:t>
            </w:r>
            <w:r w:rsidR="00A672CF">
              <w:rPr>
                <w:rFonts w:ascii="Calibri" w:hAnsi="Calibri" w:cs="Calibri"/>
                <w:sz w:val="20"/>
                <w:szCs w:val="20"/>
                <w:lang w:val="en-AU"/>
              </w:rPr>
              <w:t xml:space="preserve">either </w:t>
            </w:r>
            <w:r w:rsidRPr="00832879">
              <w:rPr>
                <w:rFonts w:ascii="Calibri" w:hAnsi="Calibri" w:cs="Calibri"/>
                <w:sz w:val="20"/>
                <w:szCs w:val="20"/>
                <w:lang w:val="en-AU"/>
              </w:rPr>
              <w:t>legislation</w:t>
            </w:r>
            <w:r w:rsidR="00E55AA8">
              <w:rPr>
                <w:rFonts w:ascii="Calibri" w:hAnsi="Calibri" w:cs="Calibri"/>
                <w:sz w:val="20"/>
                <w:szCs w:val="20"/>
                <w:lang w:val="en-AU"/>
              </w:rPr>
              <w:t xml:space="preserve">, </w:t>
            </w:r>
            <w:r w:rsidRPr="00832879">
              <w:rPr>
                <w:rFonts w:ascii="Calibri" w:hAnsi="Calibri" w:cs="Calibri"/>
                <w:sz w:val="20"/>
                <w:szCs w:val="20"/>
                <w:lang w:val="en-AU"/>
              </w:rPr>
              <w:t>regulation</w:t>
            </w:r>
            <w:r w:rsidR="00A672CF">
              <w:rPr>
                <w:rFonts w:ascii="Calibri" w:hAnsi="Calibri" w:cs="Calibri"/>
                <w:sz w:val="20"/>
                <w:szCs w:val="20"/>
                <w:lang w:val="en-AU"/>
              </w:rPr>
              <w:t>,</w:t>
            </w:r>
            <w:r w:rsidR="00E55AA8">
              <w:rPr>
                <w:rFonts w:ascii="Calibri" w:hAnsi="Calibri" w:cs="Calibri"/>
                <w:sz w:val="20"/>
                <w:szCs w:val="20"/>
                <w:lang w:val="en-AU"/>
              </w:rPr>
              <w:t xml:space="preserve"> or schedule.  Consider these and complete </w:t>
            </w:r>
            <w:r w:rsidR="00A672CF">
              <w:rPr>
                <w:rFonts w:ascii="Calibri" w:hAnsi="Calibri" w:cs="Calibri"/>
                <w:sz w:val="20"/>
                <w:szCs w:val="20"/>
                <w:lang w:val="en-AU"/>
              </w:rPr>
              <w:t xml:space="preserve">the </w:t>
            </w:r>
            <w:r w:rsidR="00E55AA8">
              <w:rPr>
                <w:rFonts w:ascii="Calibri" w:hAnsi="Calibri" w:cs="Calibri"/>
                <w:sz w:val="20"/>
                <w:szCs w:val="20"/>
                <w:lang w:val="en-AU"/>
              </w:rPr>
              <w:t xml:space="preserve">table </w:t>
            </w:r>
            <w:r w:rsidR="009E5056">
              <w:rPr>
                <w:rFonts w:ascii="Calibri" w:hAnsi="Calibri" w:cs="Calibri"/>
                <w:sz w:val="20"/>
                <w:szCs w:val="20"/>
                <w:lang w:val="en-AU"/>
              </w:rPr>
              <w:t xml:space="preserve">below </w:t>
            </w:r>
            <w:r w:rsidR="00A672CF">
              <w:rPr>
                <w:rFonts w:ascii="Calibri" w:hAnsi="Calibri" w:cs="Calibri"/>
                <w:sz w:val="20"/>
                <w:szCs w:val="20"/>
                <w:lang w:val="en-AU"/>
              </w:rPr>
              <w:t xml:space="preserve">in Step </w:t>
            </w:r>
            <w:r w:rsidR="009E5056">
              <w:rPr>
                <w:rFonts w:ascii="Calibri" w:hAnsi="Calibri" w:cs="Calibri"/>
                <w:sz w:val="20"/>
                <w:szCs w:val="20"/>
                <w:lang w:val="en-AU"/>
              </w:rPr>
              <w:t>6.4</w:t>
            </w:r>
            <w:r w:rsidR="00A672CF">
              <w:rPr>
                <w:rFonts w:ascii="Calibri" w:hAnsi="Calibri" w:cs="Calibri"/>
                <w:sz w:val="20"/>
                <w:szCs w:val="20"/>
                <w:lang w:val="en-AU"/>
              </w:rPr>
              <w:t xml:space="preserve"> to </w:t>
            </w:r>
            <w:r w:rsidR="00A672CF" w:rsidRPr="00A672CF">
              <w:rPr>
                <w:rFonts w:ascii="Calibri" w:hAnsi="Calibri" w:cs="Calibri"/>
                <w:sz w:val="20"/>
                <w:szCs w:val="20"/>
                <w:lang w:val="en-AU"/>
              </w:rPr>
              <w:t>provid</w:t>
            </w:r>
            <w:r w:rsidR="00A672CF">
              <w:rPr>
                <w:rFonts w:ascii="Calibri" w:hAnsi="Calibri" w:cs="Calibri"/>
                <w:sz w:val="20"/>
                <w:szCs w:val="20"/>
                <w:lang w:val="en-AU"/>
              </w:rPr>
              <w:t>e</w:t>
            </w:r>
            <w:r w:rsidR="00A672CF" w:rsidRPr="00A672CF">
              <w:rPr>
                <w:rFonts w:ascii="Calibri" w:hAnsi="Calibri" w:cs="Calibri"/>
                <w:sz w:val="20"/>
                <w:szCs w:val="20"/>
                <w:lang w:val="en-AU"/>
              </w:rPr>
              <w:t xml:space="preserve"> comments on what legislation</w:t>
            </w:r>
            <w:r w:rsidR="00A672CF">
              <w:rPr>
                <w:rFonts w:ascii="Calibri" w:hAnsi="Calibri" w:cs="Calibri"/>
                <w:sz w:val="20"/>
                <w:szCs w:val="20"/>
                <w:lang w:val="en-AU"/>
              </w:rPr>
              <w:t>/regulation/reform</w:t>
            </w:r>
            <w:r w:rsidR="001D1D0D">
              <w:rPr>
                <w:rFonts w:ascii="Calibri" w:hAnsi="Calibri" w:cs="Calibri"/>
                <w:sz w:val="20"/>
                <w:szCs w:val="20"/>
                <w:lang w:val="en-AU"/>
              </w:rPr>
              <w:t>s</w:t>
            </w:r>
            <w:r w:rsidR="00A672CF" w:rsidRPr="00A672CF">
              <w:rPr>
                <w:rFonts w:ascii="Calibri" w:hAnsi="Calibri" w:cs="Calibri"/>
                <w:sz w:val="20"/>
                <w:szCs w:val="20"/>
                <w:lang w:val="en-AU"/>
              </w:rPr>
              <w:t xml:space="preserve"> </w:t>
            </w:r>
            <w:r w:rsidR="00A672CF">
              <w:rPr>
                <w:rFonts w:ascii="Calibri" w:hAnsi="Calibri" w:cs="Calibri"/>
                <w:sz w:val="20"/>
                <w:szCs w:val="20"/>
                <w:lang w:val="en-AU"/>
              </w:rPr>
              <w:t xml:space="preserve">may be </w:t>
            </w:r>
            <w:r w:rsidR="00A672CF" w:rsidRPr="00A672CF">
              <w:rPr>
                <w:rFonts w:ascii="Calibri" w:hAnsi="Calibri" w:cs="Calibri"/>
                <w:sz w:val="20"/>
                <w:szCs w:val="20"/>
                <w:lang w:val="en-AU"/>
              </w:rPr>
              <w:t xml:space="preserve">required for </w:t>
            </w:r>
            <w:r w:rsidR="00D22A17">
              <w:rPr>
                <w:rFonts w:ascii="Calibri" w:hAnsi="Calibri" w:cs="Calibri"/>
                <w:sz w:val="20"/>
                <w:szCs w:val="20"/>
                <w:lang w:val="en-AU"/>
              </w:rPr>
              <w:t xml:space="preserve">each of the </w:t>
            </w:r>
            <w:r w:rsidR="00E55AA8">
              <w:rPr>
                <w:rFonts w:ascii="Calibri" w:hAnsi="Calibri" w:cs="Calibri"/>
                <w:sz w:val="20"/>
                <w:szCs w:val="20"/>
                <w:lang w:val="en-AU"/>
              </w:rPr>
              <w:t>recommended principles</w:t>
            </w:r>
            <w:r w:rsidR="00A672CF">
              <w:rPr>
                <w:rFonts w:ascii="Calibri" w:hAnsi="Calibri" w:cs="Calibri"/>
                <w:sz w:val="20"/>
                <w:szCs w:val="20"/>
                <w:lang w:val="en-AU"/>
              </w:rPr>
              <w:t xml:space="preserve"> </w:t>
            </w:r>
            <w:r w:rsidR="00D22A17">
              <w:rPr>
                <w:rFonts w:ascii="Calibri" w:hAnsi="Calibri" w:cs="Calibri"/>
                <w:sz w:val="20"/>
                <w:szCs w:val="20"/>
                <w:lang w:val="en-AU"/>
              </w:rPr>
              <w:t xml:space="preserve">to be included in </w:t>
            </w:r>
            <w:r w:rsidR="00A672CF">
              <w:rPr>
                <w:rFonts w:ascii="Calibri" w:hAnsi="Calibri" w:cs="Calibri"/>
                <w:sz w:val="20"/>
                <w:szCs w:val="20"/>
                <w:lang w:val="en-AU"/>
              </w:rPr>
              <w:t>ARFD scheme</w:t>
            </w:r>
            <w:r w:rsidR="00D22A17">
              <w:rPr>
                <w:rFonts w:ascii="Calibri" w:hAnsi="Calibri" w:cs="Calibri"/>
                <w:sz w:val="20"/>
                <w:szCs w:val="20"/>
                <w:lang w:val="en-AU"/>
              </w:rPr>
              <w:t xml:space="preserve"> legislation.</w:t>
            </w:r>
            <w:r w:rsidR="00A672CF">
              <w:rPr>
                <w:rFonts w:ascii="Calibri" w:hAnsi="Calibri" w:cs="Calibri"/>
                <w:sz w:val="20"/>
                <w:szCs w:val="20"/>
                <w:lang w:val="en-AU"/>
              </w:rPr>
              <w:t xml:space="preserve"> </w:t>
            </w:r>
          </w:p>
        </w:tc>
      </w:tr>
      <w:tr w:rsidR="00832879" w:rsidRPr="00210B21" w14:paraId="38E62B8B" w14:textId="77777777" w:rsidTr="00832879">
        <w:trPr>
          <w:trHeight w:val="206"/>
        </w:trPr>
        <w:tc>
          <w:tcPr>
            <w:tcW w:w="2374" w:type="dxa"/>
            <w:vMerge/>
            <w:shd w:val="clear" w:color="auto" w:fill="FBE4D5" w:themeFill="accent2" w:themeFillTint="33"/>
          </w:tcPr>
          <w:p w14:paraId="33DF3C2B" w14:textId="69E87AAD" w:rsidR="00832879" w:rsidRPr="00210B21" w:rsidRDefault="00832879" w:rsidP="00566DB7">
            <w:pPr>
              <w:pStyle w:val="ListParagraph"/>
              <w:numPr>
                <w:ilvl w:val="0"/>
                <w:numId w:val="30"/>
              </w:numPr>
              <w:spacing w:after="60" w:line="259" w:lineRule="auto"/>
              <w:ind w:left="590" w:hanging="567"/>
              <w:rPr>
                <w:rFonts w:ascii="Calibri" w:hAnsi="Calibri" w:cs="Calibri"/>
                <w:b/>
                <w:bCs/>
                <w:sz w:val="20"/>
                <w:szCs w:val="20"/>
                <w:lang w:val="en-AU"/>
              </w:rPr>
            </w:pPr>
          </w:p>
        </w:tc>
        <w:tc>
          <w:tcPr>
            <w:tcW w:w="6097" w:type="dxa"/>
            <w:gridSpan w:val="2"/>
            <w:vMerge w:val="restart"/>
          </w:tcPr>
          <w:p w14:paraId="0C2AC49B" w14:textId="77777777" w:rsidR="00832879" w:rsidRPr="00210B21" w:rsidRDefault="00832879" w:rsidP="00566DB7">
            <w:pPr>
              <w:suppressAutoHyphens/>
              <w:spacing w:after="60" w:line="259" w:lineRule="auto"/>
              <w:rPr>
                <w:rFonts w:ascii="Calibri" w:eastAsia="Arial" w:hAnsi="Calibri" w:cs="Calibri"/>
                <w:b/>
                <w:bCs/>
                <w:sz w:val="20"/>
                <w:szCs w:val="20"/>
                <w:lang w:val="en-AU"/>
              </w:rPr>
            </w:pPr>
            <w:r w:rsidRPr="00210B21">
              <w:rPr>
                <w:rFonts w:ascii="Calibri" w:eastAsia="Arial" w:hAnsi="Calibri" w:cs="Calibri"/>
                <w:b/>
                <w:bCs/>
                <w:sz w:val="20"/>
                <w:szCs w:val="20"/>
                <w:lang w:val="en-AU"/>
              </w:rPr>
              <w:t>Legislation – recommended to cover:</w:t>
            </w:r>
          </w:p>
          <w:p w14:paraId="5FC5345D" w14:textId="557D7B3B" w:rsidR="00832879" w:rsidRPr="00210B21" w:rsidRDefault="00832879" w:rsidP="00566DB7">
            <w:pPr>
              <w:numPr>
                <w:ilvl w:val="1"/>
                <w:numId w:val="20"/>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Purpose</w:t>
            </w:r>
            <w:r>
              <w:rPr>
                <w:rFonts w:ascii="Calibri" w:eastAsia="Arial" w:hAnsi="Calibri" w:cs="Calibri"/>
                <w:sz w:val="20"/>
                <w:szCs w:val="20"/>
                <w:lang w:val="en-AU"/>
              </w:rPr>
              <w:t xml:space="preserve"> </w:t>
            </w:r>
            <w:r w:rsidRPr="00210B21">
              <w:rPr>
                <w:rFonts w:ascii="Calibri" w:eastAsia="Arial" w:hAnsi="Calibri" w:cs="Calibri"/>
                <w:sz w:val="20"/>
                <w:szCs w:val="20"/>
                <w:lang w:val="en-AU"/>
              </w:rPr>
              <w:t xml:space="preserve">– </w:t>
            </w:r>
            <w:r w:rsidRPr="004701DA">
              <w:rPr>
                <w:rFonts w:ascii="Calibri" w:eastAsia="Arial" w:hAnsi="Calibri" w:cs="Calibri"/>
                <w:sz w:val="20"/>
                <w:szCs w:val="20"/>
                <w:lang w:val="en-AU"/>
              </w:rPr>
              <w:t xml:space="preserve">description </w:t>
            </w:r>
            <w:r>
              <w:rPr>
                <w:rFonts w:ascii="Calibri" w:eastAsia="Arial" w:hAnsi="Calibri" w:cs="Calibri"/>
                <w:sz w:val="20"/>
                <w:szCs w:val="20"/>
                <w:lang w:val="en-AU"/>
              </w:rPr>
              <w:t xml:space="preserve">of purpose (e.g., </w:t>
            </w:r>
            <w:r w:rsidRPr="00210B21">
              <w:rPr>
                <w:rFonts w:ascii="Calibri" w:eastAsia="Arial" w:hAnsi="Calibri" w:cs="Calibri"/>
                <w:sz w:val="20"/>
                <w:szCs w:val="20"/>
                <w:lang w:val="en-AU"/>
              </w:rPr>
              <w:t xml:space="preserve">to </w:t>
            </w:r>
            <w:r w:rsidR="00D22A17">
              <w:rPr>
                <w:rFonts w:ascii="Calibri" w:eastAsia="Arial" w:hAnsi="Calibri" w:cs="Calibri"/>
                <w:sz w:val="20"/>
                <w:szCs w:val="20"/>
                <w:lang w:val="en-AU"/>
              </w:rPr>
              <w:t>e</w:t>
            </w:r>
            <w:r w:rsidR="00D22A17" w:rsidRPr="00D22A17">
              <w:rPr>
                <w:rFonts w:ascii="Calibri" w:eastAsia="Arial" w:hAnsi="Calibri" w:cs="Calibri"/>
                <w:sz w:val="20"/>
                <w:szCs w:val="20"/>
                <w:lang w:val="en-AU"/>
              </w:rPr>
              <w:t>stablish ARFD to sustainably finance recycling and provide for equality in recycling services across the country, in order to reduce harm to the environment and human health, and move to a more circular economy</w:t>
            </w:r>
            <w:r>
              <w:rPr>
                <w:rFonts w:ascii="Calibri" w:eastAsia="Arial" w:hAnsi="Calibri" w:cs="Calibri"/>
                <w:sz w:val="20"/>
                <w:szCs w:val="20"/>
                <w:lang w:val="en-AU"/>
              </w:rPr>
              <w:t>)</w:t>
            </w:r>
            <w:r w:rsidRPr="00210B21">
              <w:rPr>
                <w:rFonts w:ascii="Calibri" w:eastAsia="Arial" w:hAnsi="Calibri" w:cs="Calibri"/>
                <w:sz w:val="20"/>
                <w:szCs w:val="20"/>
                <w:lang w:val="en-AU"/>
              </w:rPr>
              <w:t xml:space="preserve">.  </w:t>
            </w:r>
          </w:p>
          <w:p w14:paraId="2B76CD9F" w14:textId="77777777" w:rsidR="00832879" w:rsidRPr="00210B21" w:rsidRDefault="00832879" w:rsidP="00566DB7">
            <w:pPr>
              <w:numPr>
                <w:ilvl w:val="1"/>
                <w:numId w:val="20"/>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Scope and terms/definitions – description</w:t>
            </w:r>
            <w:r>
              <w:rPr>
                <w:rFonts w:ascii="Calibri" w:eastAsia="Arial" w:hAnsi="Calibri" w:cs="Calibri"/>
                <w:sz w:val="20"/>
                <w:szCs w:val="20"/>
                <w:lang w:val="en-AU"/>
              </w:rPr>
              <w:t xml:space="preserve"> of</w:t>
            </w:r>
            <w:r w:rsidRPr="00210B21">
              <w:rPr>
                <w:rFonts w:ascii="Calibri" w:eastAsia="Arial" w:hAnsi="Calibri" w:cs="Calibri"/>
                <w:sz w:val="20"/>
                <w:szCs w:val="20"/>
                <w:lang w:val="en-AU"/>
              </w:rPr>
              <w:t xml:space="preserve"> activities covered</w:t>
            </w:r>
            <w:r>
              <w:rPr>
                <w:rFonts w:ascii="Calibri" w:eastAsia="Arial" w:hAnsi="Calibri" w:cs="Calibri"/>
                <w:sz w:val="20"/>
                <w:szCs w:val="20"/>
                <w:lang w:val="en-AU"/>
              </w:rPr>
              <w:t xml:space="preserve"> by legislation</w:t>
            </w:r>
            <w:r w:rsidRPr="00210B21">
              <w:rPr>
                <w:rFonts w:ascii="Calibri" w:eastAsia="Arial" w:hAnsi="Calibri" w:cs="Calibri"/>
                <w:sz w:val="20"/>
                <w:szCs w:val="20"/>
                <w:lang w:val="en-AU"/>
              </w:rPr>
              <w:t>, and definition of key terms used</w:t>
            </w:r>
          </w:p>
          <w:p w14:paraId="07BB0D94" w14:textId="77777777" w:rsidR="00832879" w:rsidRDefault="00832879" w:rsidP="00566DB7">
            <w:pPr>
              <w:numPr>
                <w:ilvl w:val="1"/>
                <w:numId w:val="20"/>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Financial model – set out the model to be used, the purpose of the fund and financial controls to be imposed (i.e., empower monitoring, audit and transparency etc.)</w:t>
            </w:r>
            <w:r>
              <w:rPr>
                <w:rFonts w:ascii="Calibri" w:eastAsia="Arial" w:hAnsi="Calibri" w:cs="Calibri"/>
                <w:sz w:val="20"/>
                <w:szCs w:val="20"/>
                <w:lang w:val="en-AU"/>
              </w:rPr>
              <w:t xml:space="preserve">, </w:t>
            </w:r>
            <w:r w:rsidRPr="00210B21">
              <w:rPr>
                <w:rFonts w:ascii="Calibri" w:eastAsia="Arial" w:hAnsi="Calibri" w:cs="Calibri"/>
                <w:sz w:val="20"/>
                <w:szCs w:val="20"/>
                <w:lang w:val="en-AU"/>
              </w:rPr>
              <w:t>purpose that funds can be put to (e.g., funding of recycling depots, recycling/reuse/export of materials)</w:t>
            </w:r>
            <w:r>
              <w:rPr>
                <w:rFonts w:ascii="Calibri" w:eastAsia="Arial" w:hAnsi="Calibri" w:cs="Calibri"/>
                <w:sz w:val="20"/>
                <w:szCs w:val="20"/>
                <w:lang w:val="en-AU"/>
              </w:rPr>
              <w:t xml:space="preserve">, </w:t>
            </w:r>
          </w:p>
          <w:p w14:paraId="2E049ED0" w14:textId="29780A29" w:rsidR="00832879" w:rsidRDefault="00832879" w:rsidP="00566DB7">
            <w:pPr>
              <w:numPr>
                <w:ilvl w:val="1"/>
                <w:numId w:val="20"/>
              </w:num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lastRenderedPageBreak/>
              <w:t>F</w:t>
            </w:r>
            <w:r w:rsidRPr="004701DA">
              <w:rPr>
                <w:rFonts w:ascii="Calibri" w:eastAsia="Arial" w:hAnsi="Calibri" w:cs="Calibri"/>
                <w:sz w:val="20"/>
                <w:szCs w:val="20"/>
                <w:lang w:val="en-AU"/>
              </w:rPr>
              <w:t xml:space="preserve">ees and deposits </w:t>
            </w:r>
            <w:r>
              <w:rPr>
                <w:rFonts w:ascii="Calibri" w:eastAsia="Arial" w:hAnsi="Calibri" w:cs="Calibri"/>
                <w:sz w:val="20"/>
                <w:szCs w:val="20"/>
                <w:lang w:val="en-AU"/>
              </w:rPr>
              <w:t xml:space="preserve">- </w:t>
            </w:r>
            <w:r w:rsidRPr="00210B21">
              <w:rPr>
                <w:rFonts w:ascii="Calibri" w:eastAsia="Arial" w:hAnsi="Calibri" w:cs="Calibri"/>
                <w:sz w:val="20"/>
                <w:szCs w:val="20"/>
                <w:lang w:val="en-AU"/>
              </w:rPr>
              <w:t xml:space="preserve">description of </w:t>
            </w:r>
            <w:r>
              <w:rPr>
                <w:rFonts w:ascii="Calibri" w:eastAsia="Arial" w:hAnsi="Calibri" w:cs="Calibri"/>
                <w:sz w:val="20"/>
                <w:szCs w:val="20"/>
                <w:lang w:val="en-AU"/>
              </w:rPr>
              <w:t>methodology and responsibility for</w:t>
            </w:r>
            <w:r w:rsidRPr="00210B21">
              <w:rPr>
                <w:rFonts w:ascii="Calibri" w:eastAsia="Arial" w:hAnsi="Calibri" w:cs="Calibri"/>
                <w:sz w:val="20"/>
                <w:szCs w:val="20"/>
                <w:lang w:val="en-AU"/>
              </w:rPr>
              <w:t xml:space="preserve"> </w:t>
            </w:r>
            <w:r>
              <w:rPr>
                <w:rFonts w:ascii="Calibri" w:eastAsia="Arial" w:hAnsi="Calibri" w:cs="Calibri"/>
                <w:sz w:val="20"/>
                <w:szCs w:val="20"/>
                <w:lang w:val="en-AU"/>
              </w:rPr>
              <w:t xml:space="preserve">calculating fees, and collecting </w:t>
            </w:r>
            <w:r w:rsidRPr="00210B21">
              <w:rPr>
                <w:rFonts w:ascii="Calibri" w:eastAsia="Arial" w:hAnsi="Calibri" w:cs="Calibri"/>
                <w:sz w:val="20"/>
                <w:szCs w:val="20"/>
                <w:lang w:val="en-AU"/>
              </w:rPr>
              <w:t>fees and deposits</w:t>
            </w:r>
            <w:r w:rsidR="00E55AA8">
              <w:rPr>
                <w:rFonts w:ascii="Calibri" w:eastAsia="Arial" w:hAnsi="Calibri" w:cs="Calibri"/>
                <w:sz w:val="20"/>
                <w:szCs w:val="20"/>
                <w:lang w:val="en-AU"/>
              </w:rPr>
              <w:t>, including collection, if required, of s</w:t>
            </w:r>
            <w:r w:rsidR="00E55AA8" w:rsidRPr="00E55AA8">
              <w:rPr>
                <w:rFonts w:ascii="Calibri" w:eastAsia="Arial" w:hAnsi="Calibri" w:cs="Calibri"/>
                <w:sz w:val="20"/>
                <w:szCs w:val="20"/>
                <w:lang w:val="en-AU"/>
              </w:rPr>
              <w:t xml:space="preserve">tart-up funding </w:t>
            </w:r>
            <w:r w:rsidR="00E55AA8">
              <w:rPr>
                <w:rFonts w:ascii="Calibri" w:eastAsia="Arial" w:hAnsi="Calibri" w:cs="Calibri"/>
                <w:sz w:val="20"/>
                <w:szCs w:val="20"/>
                <w:lang w:val="en-AU"/>
              </w:rPr>
              <w:t>or a float at commencement of scheme</w:t>
            </w:r>
          </w:p>
          <w:p w14:paraId="024D664F" w14:textId="77777777" w:rsidR="00832879" w:rsidRPr="00314121" w:rsidRDefault="00832879" w:rsidP="00566DB7">
            <w:pPr>
              <w:pStyle w:val="ListParagraph"/>
              <w:numPr>
                <w:ilvl w:val="1"/>
                <w:numId w:val="20"/>
              </w:numPr>
              <w:rPr>
                <w:rFonts w:ascii="Calibri" w:eastAsia="Arial" w:hAnsi="Calibri" w:cs="Calibri"/>
                <w:sz w:val="20"/>
                <w:szCs w:val="20"/>
                <w:lang w:val="en-AU"/>
              </w:rPr>
            </w:pPr>
            <w:r>
              <w:rPr>
                <w:rFonts w:ascii="Calibri" w:eastAsia="Arial" w:hAnsi="Calibri" w:cs="Calibri"/>
                <w:sz w:val="20"/>
                <w:szCs w:val="20"/>
                <w:lang w:val="en-AU"/>
              </w:rPr>
              <w:t xml:space="preserve">Product inclusions </w:t>
            </w:r>
            <w:r w:rsidRPr="00314121">
              <w:rPr>
                <w:rFonts w:ascii="Calibri" w:eastAsia="Arial" w:hAnsi="Calibri" w:cs="Calibri"/>
                <w:sz w:val="20"/>
                <w:szCs w:val="20"/>
                <w:lang w:val="en-AU"/>
              </w:rPr>
              <w:t xml:space="preserve">- description of methodology </w:t>
            </w:r>
            <w:r>
              <w:rPr>
                <w:rFonts w:ascii="Calibri" w:eastAsia="Arial" w:hAnsi="Calibri" w:cs="Calibri"/>
                <w:sz w:val="20"/>
                <w:szCs w:val="20"/>
                <w:lang w:val="en-AU"/>
              </w:rPr>
              <w:t xml:space="preserve">to determine scheme inclusions (listed in Schedule) and how schedule can be updated by who (i.e., </w:t>
            </w:r>
            <w:r w:rsidRPr="006B13C1">
              <w:rPr>
                <w:rFonts w:ascii="Calibri" w:eastAsia="Arial" w:hAnsi="Calibri" w:cs="Calibri"/>
                <w:sz w:val="20"/>
                <w:szCs w:val="20"/>
                <w:lang w:val="en-AU"/>
              </w:rPr>
              <w:t xml:space="preserve">Schedule </w:t>
            </w:r>
            <w:r>
              <w:rPr>
                <w:rFonts w:ascii="Calibri" w:eastAsia="Arial" w:hAnsi="Calibri" w:cs="Calibri"/>
                <w:sz w:val="20"/>
                <w:szCs w:val="20"/>
                <w:lang w:val="en-AU"/>
              </w:rPr>
              <w:t xml:space="preserve">of products can be amended by Minister of Environment on basis of </w:t>
            </w:r>
            <w:r w:rsidRPr="006B13C1">
              <w:rPr>
                <w:rFonts w:ascii="Calibri" w:eastAsia="Arial" w:hAnsi="Calibri" w:cs="Calibri"/>
                <w:sz w:val="20"/>
                <w:szCs w:val="20"/>
                <w:lang w:val="en-AU"/>
              </w:rPr>
              <w:t>feasibility study</w:t>
            </w:r>
            <w:r>
              <w:rPr>
                <w:rFonts w:ascii="Calibri" w:eastAsia="Arial" w:hAnsi="Calibri" w:cs="Calibri"/>
                <w:sz w:val="20"/>
                <w:szCs w:val="20"/>
                <w:lang w:val="en-AU"/>
              </w:rPr>
              <w:t xml:space="preserve"> findings, and </w:t>
            </w:r>
            <w:r w:rsidRPr="006B13C1">
              <w:rPr>
                <w:rFonts w:ascii="Calibri" w:eastAsia="Arial" w:hAnsi="Calibri" w:cs="Calibri"/>
                <w:sz w:val="20"/>
                <w:szCs w:val="20"/>
                <w:lang w:val="en-AU"/>
              </w:rPr>
              <w:t xml:space="preserve">completion </w:t>
            </w:r>
            <w:r>
              <w:rPr>
                <w:rFonts w:ascii="Calibri" w:eastAsia="Arial" w:hAnsi="Calibri" w:cs="Calibri"/>
                <w:sz w:val="20"/>
                <w:szCs w:val="20"/>
                <w:lang w:val="en-AU"/>
              </w:rPr>
              <w:t>industry and stakeholder consultation)</w:t>
            </w:r>
          </w:p>
          <w:p w14:paraId="6E5AA8E2" w14:textId="77777777" w:rsidR="00832879" w:rsidRPr="00210B21" w:rsidRDefault="00832879" w:rsidP="00566DB7">
            <w:pPr>
              <w:numPr>
                <w:ilvl w:val="1"/>
                <w:numId w:val="20"/>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Management, roles</w:t>
            </w:r>
            <w:r>
              <w:rPr>
                <w:rFonts w:ascii="Calibri" w:eastAsia="Arial" w:hAnsi="Calibri" w:cs="Calibri"/>
                <w:sz w:val="20"/>
                <w:szCs w:val="20"/>
                <w:lang w:val="en-AU"/>
              </w:rPr>
              <w:t>,</w:t>
            </w:r>
            <w:r w:rsidRPr="00210B21">
              <w:rPr>
                <w:rFonts w:ascii="Calibri" w:eastAsia="Arial" w:hAnsi="Calibri" w:cs="Calibri"/>
                <w:sz w:val="20"/>
                <w:szCs w:val="20"/>
                <w:lang w:val="en-AU"/>
              </w:rPr>
              <w:t xml:space="preserve"> and functions – sets out the roles and functions of the </w:t>
            </w:r>
            <w:r>
              <w:rPr>
                <w:rFonts w:ascii="Calibri" w:eastAsia="Arial" w:hAnsi="Calibri" w:cs="Calibri"/>
                <w:sz w:val="20"/>
                <w:szCs w:val="20"/>
                <w:lang w:val="en-AU"/>
              </w:rPr>
              <w:t xml:space="preserve">scheme partners or </w:t>
            </w:r>
            <w:r w:rsidRPr="00210B21">
              <w:rPr>
                <w:rFonts w:ascii="Calibri" w:eastAsia="Arial" w:hAnsi="Calibri" w:cs="Calibri"/>
                <w:sz w:val="20"/>
                <w:szCs w:val="20"/>
                <w:lang w:val="en-AU"/>
              </w:rPr>
              <w:t>managing</w:t>
            </w:r>
            <w:r>
              <w:rPr>
                <w:rFonts w:ascii="Calibri" w:eastAsia="Arial" w:hAnsi="Calibri" w:cs="Calibri"/>
                <w:sz w:val="20"/>
                <w:szCs w:val="20"/>
                <w:lang w:val="en-AU"/>
              </w:rPr>
              <w:t xml:space="preserve">/governing </w:t>
            </w:r>
            <w:r w:rsidRPr="00210B21">
              <w:rPr>
                <w:rFonts w:ascii="Calibri" w:eastAsia="Arial" w:hAnsi="Calibri" w:cs="Calibri"/>
                <w:sz w:val="20"/>
                <w:szCs w:val="20"/>
                <w:lang w:val="en-AU"/>
              </w:rPr>
              <w:t xml:space="preserve"> agencies </w:t>
            </w:r>
          </w:p>
          <w:p w14:paraId="59CD2455" w14:textId="270DCB2F" w:rsidR="00832879" w:rsidRPr="00210B21" w:rsidRDefault="00832879" w:rsidP="00566DB7">
            <w:pPr>
              <w:spacing w:after="60" w:line="259" w:lineRule="auto"/>
              <w:rPr>
                <w:rFonts w:ascii="Calibri" w:hAnsi="Calibri" w:cs="Calibri"/>
                <w:sz w:val="20"/>
                <w:szCs w:val="20"/>
                <w:lang w:val="en-AU"/>
              </w:rPr>
            </w:pPr>
            <w:r>
              <w:rPr>
                <w:rFonts w:ascii="Calibri" w:eastAsia="Arial" w:hAnsi="Calibri" w:cs="Calibri"/>
                <w:sz w:val="20"/>
                <w:szCs w:val="20"/>
                <w:lang w:val="en-AU"/>
              </w:rPr>
              <w:t>Empowering r</w:t>
            </w:r>
            <w:r w:rsidRPr="00210B21">
              <w:rPr>
                <w:rFonts w:ascii="Calibri" w:eastAsia="Arial" w:hAnsi="Calibri" w:cs="Calibri"/>
                <w:sz w:val="20"/>
                <w:szCs w:val="20"/>
                <w:lang w:val="en-AU"/>
              </w:rPr>
              <w:t>egulation – a generic description of the regulatory powers necessary to implement the scheme and who has the authority to impose them (i.e.</w:t>
            </w:r>
            <w:r>
              <w:rPr>
                <w:rFonts w:ascii="Calibri" w:eastAsia="Arial" w:hAnsi="Calibri" w:cs="Calibri"/>
                <w:sz w:val="20"/>
                <w:szCs w:val="20"/>
                <w:lang w:val="en-AU"/>
              </w:rPr>
              <w:t>,</w:t>
            </w:r>
            <w:r w:rsidRPr="00210B21">
              <w:rPr>
                <w:rFonts w:ascii="Calibri" w:eastAsia="Arial" w:hAnsi="Calibri" w:cs="Calibri"/>
                <w:sz w:val="20"/>
                <w:szCs w:val="20"/>
                <w:lang w:val="en-AU"/>
              </w:rPr>
              <w:t xml:space="preserve"> Minister and authori</w:t>
            </w:r>
            <w:r>
              <w:rPr>
                <w:rFonts w:ascii="Calibri" w:eastAsia="Arial" w:hAnsi="Calibri" w:cs="Calibri"/>
                <w:sz w:val="20"/>
                <w:szCs w:val="20"/>
                <w:lang w:val="en-AU"/>
              </w:rPr>
              <w:t>s</w:t>
            </w:r>
            <w:r w:rsidRPr="00210B21">
              <w:rPr>
                <w:rFonts w:ascii="Calibri" w:eastAsia="Arial" w:hAnsi="Calibri" w:cs="Calibri"/>
                <w:sz w:val="20"/>
                <w:szCs w:val="20"/>
                <w:lang w:val="en-AU"/>
              </w:rPr>
              <w:t xml:space="preserve">ing relevant departments to </w:t>
            </w:r>
            <w:r>
              <w:rPr>
                <w:rFonts w:ascii="Calibri" w:eastAsia="Arial" w:hAnsi="Calibri" w:cs="Calibri"/>
                <w:sz w:val="20"/>
                <w:szCs w:val="20"/>
                <w:lang w:val="en-AU"/>
              </w:rPr>
              <w:t>operate</w:t>
            </w:r>
            <w:r w:rsidRPr="00210B21">
              <w:rPr>
                <w:rFonts w:ascii="Calibri" w:eastAsia="Arial" w:hAnsi="Calibri" w:cs="Calibri"/>
                <w:sz w:val="20"/>
                <w:szCs w:val="20"/>
                <w:lang w:val="en-AU"/>
              </w:rPr>
              <w:t xml:space="preserve"> and regulate scheme).  </w:t>
            </w:r>
          </w:p>
        </w:tc>
        <w:tc>
          <w:tcPr>
            <w:tcW w:w="6125" w:type="dxa"/>
            <w:gridSpan w:val="3"/>
          </w:tcPr>
          <w:p w14:paraId="573895D3" w14:textId="77777777" w:rsidR="00832879" w:rsidRPr="00210B21" w:rsidRDefault="00832879" w:rsidP="00566DB7">
            <w:pPr>
              <w:suppressAutoHyphens/>
              <w:spacing w:after="60" w:line="259" w:lineRule="auto"/>
              <w:rPr>
                <w:rFonts w:ascii="Calibri" w:eastAsia="Arial" w:hAnsi="Calibri" w:cs="Calibri"/>
                <w:sz w:val="20"/>
                <w:szCs w:val="20"/>
                <w:lang w:val="en-AU"/>
              </w:rPr>
            </w:pPr>
            <w:r w:rsidRPr="00210B21">
              <w:rPr>
                <w:rFonts w:ascii="Calibri" w:eastAsia="Arial" w:hAnsi="Calibri" w:cs="Calibri"/>
                <w:b/>
                <w:bCs/>
                <w:sz w:val="20"/>
                <w:szCs w:val="20"/>
                <w:lang w:val="en-AU"/>
              </w:rPr>
              <w:lastRenderedPageBreak/>
              <w:t>Regulations – recommended to cover:</w:t>
            </w:r>
          </w:p>
          <w:p w14:paraId="30D8B1FF" w14:textId="77777777" w:rsidR="00832879" w:rsidRPr="00A83A43" w:rsidRDefault="00832879" w:rsidP="00566DB7">
            <w:pPr>
              <w:pStyle w:val="ListParagraph"/>
              <w:numPr>
                <w:ilvl w:val="1"/>
                <w:numId w:val="21"/>
              </w:numPr>
              <w:suppressAutoHyphens/>
              <w:spacing w:after="60" w:line="259" w:lineRule="auto"/>
              <w:rPr>
                <w:rFonts w:ascii="Calibri" w:eastAsia="Arial" w:hAnsi="Calibri" w:cs="Calibri"/>
                <w:sz w:val="20"/>
                <w:szCs w:val="20"/>
                <w:lang w:val="en-AU"/>
              </w:rPr>
            </w:pPr>
            <w:r w:rsidRPr="00A83A43">
              <w:rPr>
                <w:rFonts w:ascii="Calibri" w:eastAsia="Arial" w:hAnsi="Calibri" w:cs="Calibri"/>
                <w:sz w:val="20"/>
                <w:szCs w:val="20"/>
                <w:lang w:val="en-AU"/>
              </w:rPr>
              <w:t xml:space="preserve">Targets - </w:t>
            </w:r>
            <w:r w:rsidRPr="0050627E">
              <w:rPr>
                <w:rFonts w:ascii="Calibri" w:eastAsia="Arial" w:hAnsi="Calibri" w:cs="Calibri"/>
                <w:sz w:val="20"/>
                <w:szCs w:val="20"/>
                <w:lang w:val="en-AU"/>
              </w:rPr>
              <w:t xml:space="preserve">description of </w:t>
            </w:r>
            <w:r>
              <w:rPr>
                <w:rFonts w:ascii="Calibri" w:eastAsia="Arial" w:hAnsi="Calibri" w:cs="Calibri"/>
                <w:sz w:val="20"/>
                <w:szCs w:val="20"/>
                <w:lang w:val="en-AU"/>
              </w:rPr>
              <w:t>targets to achieve purpose of scheme (e.g., a</w:t>
            </w:r>
            <w:r w:rsidRPr="00A83A43">
              <w:rPr>
                <w:rFonts w:ascii="Calibri" w:eastAsia="Arial" w:hAnsi="Calibri" w:cs="Calibri"/>
                <w:sz w:val="20"/>
                <w:szCs w:val="20"/>
                <w:lang w:val="en-AU"/>
              </w:rPr>
              <w:t>chieve recycling performance of 80% for all scheme inclusions within 5 years</w:t>
            </w:r>
            <w:r>
              <w:rPr>
                <w:rFonts w:ascii="Calibri" w:eastAsia="Arial" w:hAnsi="Calibri" w:cs="Calibri"/>
                <w:sz w:val="20"/>
                <w:szCs w:val="20"/>
                <w:lang w:val="en-AU"/>
              </w:rPr>
              <w:t>)</w:t>
            </w:r>
            <w:r w:rsidRPr="00A83A43">
              <w:rPr>
                <w:rFonts w:ascii="Calibri" w:eastAsia="Arial" w:hAnsi="Calibri" w:cs="Calibri"/>
                <w:sz w:val="20"/>
                <w:szCs w:val="20"/>
                <w:lang w:val="en-AU"/>
              </w:rPr>
              <w:t xml:space="preserve"> </w:t>
            </w:r>
          </w:p>
          <w:p w14:paraId="04313E29" w14:textId="77777777" w:rsidR="00832879" w:rsidRPr="00210B21" w:rsidRDefault="00832879" w:rsidP="00566DB7">
            <w:pPr>
              <w:numPr>
                <w:ilvl w:val="1"/>
                <w:numId w:val="21"/>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Establishment and operation </w:t>
            </w:r>
            <w:r>
              <w:rPr>
                <w:rFonts w:ascii="Calibri" w:eastAsia="Arial" w:hAnsi="Calibri" w:cs="Calibri"/>
                <w:sz w:val="20"/>
                <w:szCs w:val="20"/>
                <w:lang w:val="en-AU"/>
              </w:rPr>
              <w:t xml:space="preserve">of identified </w:t>
            </w:r>
            <w:r w:rsidRPr="00210B21">
              <w:rPr>
                <w:rFonts w:ascii="Calibri" w:eastAsia="Arial" w:hAnsi="Calibri" w:cs="Calibri"/>
                <w:sz w:val="20"/>
                <w:szCs w:val="20"/>
                <w:lang w:val="en-AU"/>
              </w:rPr>
              <w:t xml:space="preserve">facilities (and </w:t>
            </w:r>
            <w:r w:rsidRPr="00752ED3">
              <w:rPr>
                <w:rFonts w:ascii="Calibri" w:eastAsia="Arial" w:hAnsi="Calibri" w:cs="Calibri"/>
                <w:sz w:val="20"/>
                <w:szCs w:val="20"/>
                <w:lang w:val="en-AU"/>
              </w:rPr>
              <w:t xml:space="preserve">any standards to be applied </w:t>
            </w:r>
            <w:r>
              <w:rPr>
                <w:rFonts w:ascii="Calibri" w:eastAsia="Arial" w:hAnsi="Calibri" w:cs="Calibri"/>
                <w:sz w:val="20"/>
                <w:szCs w:val="20"/>
                <w:lang w:val="en-AU"/>
              </w:rPr>
              <w:t xml:space="preserve">- </w:t>
            </w:r>
            <w:r w:rsidRPr="00210B21">
              <w:rPr>
                <w:rFonts w:ascii="Calibri" w:eastAsia="Arial" w:hAnsi="Calibri" w:cs="Calibri"/>
                <w:sz w:val="20"/>
                <w:szCs w:val="20"/>
                <w:lang w:val="en-AU"/>
              </w:rPr>
              <w:t xml:space="preserve">number, </w:t>
            </w:r>
            <w:r>
              <w:rPr>
                <w:rFonts w:ascii="Calibri" w:eastAsia="Arial" w:hAnsi="Calibri" w:cs="Calibri"/>
                <w:sz w:val="20"/>
                <w:szCs w:val="20"/>
                <w:lang w:val="en-AU"/>
              </w:rPr>
              <w:t>locations, etc</w:t>
            </w:r>
            <w:r w:rsidRPr="00210B21">
              <w:rPr>
                <w:rFonts w:ascii="Calibri" w:eastAsia="Arial" w:hAnsi="Calibri" w:cs="Calibri"/>
                <w:sz w:val="20"/>
                <w:szCs w:val="20"/>
                <w:lang w:val="en-AU"/>
              </w:rPr>
              <w:t>) for the collection, recycling, materials handling/disposal/treatment, and their end use and export</w:t>
            </w:r>
            <w:r>
              <w:rPr>
                <w:rFonts w:ascii="Calibri" w:eastAsia="Arial" w:hAnsi="Calibri" w:cs="Calibri"/>
                <w:sz w:val="20"/>
                <w:szCs w:val="20"/>
                <w:lang w:val="en-AU"/>
              </w:rPr>
              <w:t xml:space="preserve"> </w:t>
            </w:r>
          </w:p>
          <w:p w14:paraId="702A590C" w14:textId="77777777" w:rsidR="00832879" w:rsidRPr="00210B21" w:rsidRDefault="00832879" w:rsidP="00566DB7">
            <w:pPr>
              <w:numPr>
                <w:ilvl w:val="1"/>
                <w:numId w:val="21"/>
              </w:num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Scheme requirements such as l</w:t>
            </w:r>
            <w:r w:rsidRPr="00210B21">
              <w:rPr>
                <w:rFonts w:ascii="Calibri" w:eastAsia="Arial" w:hAnsi="Calibri" w:cs="Calibri"/>
                <w:sz w:val="20"/>
                <w:szCs w:val="20"/>
                <w:lang w:val="en-AU"/>
              </w:rPr>
              <w:t xml:space="preserve">abelling of </w:t>
            </w:r>
            <w:r w:rsidRPr="0050627E">
              <w:rPr>
                <w:rFonts w:ascii="Calibri" w:eastAsia="Arial" w:hAnsi="Calibri" w:cs="Calibri"/>
                <w:sz w:val="20"/>
                <w:szCs w:val="20"/>
                <w:lang w:val="en-AU"/>
              </w:rPr>
              <w:t>items</w:t>
            </w:r>
          </w:p>
          <w:p w14:paraId="23A71D5E" w14:textId="77777777" w:rsidR="00832879" w:rsidRPr="00210B21" w:rsidRDefault="00832879" w:rsidP="00566DB7">
            <w:pPr>
              <w:numPr>
                <w:ilvl w:val="1"/>
                <w:numId w:val="21"/>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Monitoring and </w:t>
            </w:r>
            <w:r>
              <w:rPr>
                <w:rFonts w:ascii="Calibri" w:eastAsia="Arial" w:hAnsi="Calibri" w:cs="Calibri"/>
                <w:sz w:val="20"/>
                <w:szCs w:val="20"/>
                <w:lang w:val="en-AU"/>
              </w:rPr>
              <w:t xml:space="preserve">data </w:t>
            </w:r>
            <w:r w:rsidRPr="00210B21">
              <w:rPr>
                <w:rFonts w:ascii="Calibri" w:eastAsia="Arial" w:hAnsi="Calibri" w:cs="Calibri"/>
                <w:sz w:val="20"/>
                <w:szCs w:val="20"/>
                <w:lang w:val="en-AU"/>
              </w:rPr>
              <w:t>collection</w:t>
            </w:r>
            <w:r>
              <w:rPr>
                <w:rFonts w:ascii="Calibri" w:eastAsia="Arial" w:hAnsi="Calibri" w:cs="Calibri"/>
                <w:sz w:val="20"/>
                <w:szCs w:val="20"/>
                <w:lang w:val="en-AU"/>
              </w:rPr>
              <w:t xml:space="preserve"> requirements of </w:t>
            </w:r>
            <w:r w:rsidRPr="004701DA">
              <w:rPr>
                <w:rFonts w:ascii="Calibri" w:eastAsia="Arial" w:hAnsi="Calibri" w:cs="Calibri"/>
                <w:sz w:val="20"/>
                <w:szCs w:val="20"/>
                <w:lang w:val="en-AU"/>
              </w:rPr>
              <w:t>scheme partners</w:t>
            </w:r>
          </w:p>
          <w:p w14:paraId="5D1E6A4D" w14:textId="77777777" w:rsidR="00832879" w:rsidRPr="00210B21" w:rsidRDefault="00832879" w:rsidP="00566DB7">
            <w:pPr>
              <w:numPr>
                <w:ilvl w:val="1"/>
                <w:numId w:val="21"/>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Compliance and enforcement (including offences, fines</w:t>
            </w:r>
            <w:r>
              <w:rPr>
                <w:rFonts w:ascii="Calibri" w:eastAsia="Arial" w:hAnsi="Calibri" w:cs="Calibri"/>
                <w:sz w:val="20"/>
                <w:szCs w:val="20"/>
                <w:lang w:val="en-AU"/>
              </w:rPr>
              <w:t>,</w:t>
            </w:r>
            <w:r w:rsidRPr="00210B21">
              <w:rPr>
                <w:rFonts w:ascii="Calibri" w:eastAsia="Arial" w:hAnsi="Calibri" w:cs="Calibri"/>
                <w:sz w:val="20"/>
                <w:szCs w:val="20"/>
                <w:lang w:val="en-AU"/>
              </w:rPr>
              <w:t xml:space="preserve"> and authori</w:t>
            </w:r>
            <w:r>
              <w:rPr>
                <w:rFonts w:ascii="Calibri" w:eastAsia="Arial" w:hAnsi="Calibri" w:cs="Calibri"/>
                <w:sz w:val="20"/>
                <w:szCs w:val="20"/>
                <w:lang w:val="en-AU"/>
              </w:rPr>
              <w:t>s</w:t>
            </w:r>
            <w:r w:rsidRPr="00210B21">
              <w:rPr>
                <w:rFonts w:ascii="Calibri" w:eastAsia="Arial" w:hAnsi="Calibri" w:cs="Calibri"/>
                <w:sz w:val="20"/>
                <w:szCs w:val="20"/>
                <w:lang w:val="en-AU"/>
              </w:rPr>
              <w:t>ing enforcement officers</w:t>
            </w:r>
            <w:r>
              <w:rPr>
                <w:rFonts w:ascii="Calibri" w:eastAsia="Arial" w:hAnsi="Calibri" w:cs="Calibri"/>
                <w:sz w:val="20"/>
                <w:szCs w:val="20"/>
                <w:lang w:val="en-AU"/>
              </w:rPr>
              <w:t>)</w:t>
            </w:r>
          </w:p>
          <w:p w14:paraId="1870C299" w14:textId="6A910DD9" w:rsidR="00832879" w:rsidRPr="00210B21" w:rsidRDefault="00832879" w:rsidP="00566DB7">
            <w:pPr>
              <w:spacing w:after="60" w:line="259" w:lineRule="auto"/>
              <w:rPr>
                <w:rFonts w:ascii="Calibri" w:hAnsi="Calibri" w:cs="Calibri"/>
                <w:sz w:val="20"/>
                <w:szCs w:val="20"/>
                <w:lang w:val="en-AU"/>
              </w:rPr>
            </w:pPr>
          </w:p>
        </w:tc>
      </w:tr>
      <w:tr w:rsidR="00832879" w:rsidRPr="00210B21" w14:paraId="716A5A84" w14:textId="77777777" w:rsidTr="00832879">
        <w:trPr>
          <w:trHeight w:val="205"/>
        </w:trPr>
        <w:tc>
          <w:tcPr>
            <w:tcW w:w="2374" w:type="dxa"/>
            <w:vMerge/>
            <w:shd w:val="clear" w:color="auto" w:fill="FBE4D5" w:themeFill="accent2" w:themeFillTint="33"/>
          </w:tcPr>
          <w:p w14:paraId="40F9037B" w14:textId="77777777" w:rsidR="00832879" w:rsidRPr="00210B21" w:rsidRDefault="00832879" w:rsidP="00566DB7">
            <w:pPr>
              <w:spacing w:after="60" w:line="259" w:lineRule="auto"/>
              <w:ind w:left="590" w:hanging="567"/>
              <w:rPr>
                <w:rFonts w:ascii="Calibri" w:hAnsi="Calibri" w:cs="Calibri"/>
                <w:b/>
                <w:bCs/>
                <w:sz w:val="20"/>
                <w:szCs w:val="20"/>
                <w:lang w:val="en-AU"/>
              </w:rPr>
            </w:pPr>
          </w:p>
        </w:tc>
        <w:tc>
          <w:tcPr>
            <w:tcW w:w="6097" w:type="dxa"/>
            <w:gridSpan w:val="2"/>
            <w:vMerge/>
          </w:tcPr>
          <w:p w14:paraId="2C075A6E" w14:textId="77777777" w:rsidR="00832879" w:rsidRPr="00210B21" w:rsidRDefault="00832879" w:rsidP="00566DB7">
            <w:pPr>
              <w:spacing w:after="60" w:line="259" w:lineRule="auto"/>
              <w:rPr>
                <w:rFonts w:ascii="Calibri" w:hAnsi="Calibri" w:cs="Calibri"/>
                <w:sz w:val="20"/>
                <w:szCs w:val="20"/>
                <w:lang w:val="en-AU"/>
              </w:rPr>
            </w:pPr>
          </w:p>
        </w:tc>
        <w:tc>
          <w:tcPr>
            <w:tcW w:w="6125" w:type="dxa"/>
            <w:gridSpan w:val="3"/>
          </w:tcPr>
          <w:p w14:paraId="72E0ECED" w14:textId="77777777" w:rsidR="00832879" w:rsidRDefault="00832879" w:rsidP="00566DB7">
            <w:pPr>
              <w:suppressAutoHyphens/>
              <w:spacing w:after="60" w:line="259" w:lineRule="auto"/>
              <w:rPr>
                <w:rFonts w:ascii="Calibri" w:eastAsia="Arial" w:hAnsi="Calibri" w:cs="Calibri"/>
                <w:sz w:val="20"/>
                <w:szCs w:val="20"/>
                <w:highlight w:val="yellow"/>
                <w:lang w:val="en-AU"/>
              </w:rPr>
            </w:pPr>
            <w:r w:rsidRPr="0050627E">
              <w:rPr>
                <w:rFonts w:ascii="Calibri" w:eastAsia="Arial" w:hAnsi="Calibri" w:cs="Calibri"/>
                <w:b/>
                <w:bCs/>
                <w:sz w:val="20"/>
                <w:szCs w:val="20"/>
                <w:lang w:val="en-AU"/>
              </w:rPr>
              <w:t>Schedule</w:t>
            </w:r>
            <w:r>
              <w:rPr>
                <w:rFonts w:ascii="Calibri" w:eastAsia="Arial" w:hAnsi="Calibri" w:cs="Calibri"/>
                <w:b/>
                <w:bCs/>
                <w:sz w:val="20"/>
                <w:szCs w:val="20"/>
                <w:lang w:val="en-AU"/>
              </w:rPr>
              <w:t xml:space="preserve"> </w:t>
            </w:r>
            <w:r w:rsidRPr="00210B21">
              <w:rPr>
                <w:rFonts w:ascii="Calibri" w:eastAsia="Arial" w:hAnsi="Calibri" w:cs="Calibri"/>
                <w:b/>
                <w:bCs/>
                <w:sz w:val="20"/>
                <w:szCs w:val="20"/>
                <w:lang w:val="en-AU"/>
              </w:rPr>
              <w:t>– recommended to cover:</w:t>
            </w:r>
          </w:p>
          <w:p w14:paraId="39EE41F3" w14:textId="3DA81457" w:rsidR="00832879" w:rsidRPr="006B13C1" w:rsidRDefault="00AA0306" w:rsidP="00566DB7">
            <w:pPr>
              <w:numPr>
                <w:ilvl w:val="1"/>
                <w:numId w:val="21"/>
              </w:numPr>
              <w:suppressAutoHyphens/>
              <w:spacing w:after="60" w:line="259" w:lineRule="auto"/>
              <w:rPr>
                <w:rFonts w:ascii="Calibri" w:eastAsia="Arial" w:hAnsi="Calibri" w:cs="Calibri"/>
                <w:sz w:val="20"/>
                <w:szCs w:val="20"/>
                <w:lang w:val="en-AU"/>
              </w:rPr>
            </w:pPr>
            <w:r w:rsidRPr="00AA0306">
              <w:rPr>
                <w:rFonts w:ascii="Calibri" w:eastAsia="Arial" w:hAnsi="Calibri" w:cs="Calibri"/>
                <w:sz w:val="20"/>
                <w:szCs w:val="20"/>
                <w:lang w:val="en-AU"/>
              </w:rPr>
              <w:t>Items</w:t>
            </w:r>
            <w:r>
              <w:rPr>
                <w:rFonts w:ascii="Calibri" w:eastAsia="Arial" w:hAnsi="Calibri" w:cs="Calibri"/>
                <w:sz w:val="20"/>
                <w:szCs w:val="20"/>
                <w:lang w:val="en-AU"/>
              </w:rPr>
              <w:t xml:space="preserve"> </w:t>
            </w:r>
            <w:r w:rsidR="00832879" w:rsidRPr="006B13C1">
              <w:rPr>
                <w:rFonts w:ascii="Calibri" w:eastAsia="Arial" w:hAnsi="Calibri" w:cs="Calibri"/>
                <w:sz w:val="20"/>
                <w:szCs w:val="20"/>
                <w:lang w:val="en-AU"/>
              </w:rPr>
              <w:t xml:space="preserve">included in scheme </w:t>
            </w:r>
          </w:p>
          <w:p w14:paraId="0464D8E1" w14:textId="77777777" w:rsidR="00832879" w:rsidRPr="006B13C1" w:rsidRDefault="00832879" w:rsidP="00566DB7">
            <w:pPr>
              <w:numPr>
                <w:ilvl w:val="1"/>
                <w:numId w:val="21"/>
              </w:numPr>
              <w:suppressAutoHyphens/>
              <w:spacing w:after="60" w:line="259" w:lineRule="auto"/>
              <w:rPr>
                <w:rFonts w:ascii="Calibri" w:eastAsia="Arial" w:hAnsi="Calibri" w:cs="Calibri"/>
                <w:sz w:val="20"/>
                <w:szCs w:val="20"/>
                <w:lang w:val="en-AU"/>
              </w:rPr>
            </w:pPr>
            <w:r w:rsidRPr="006B13C1">
              <w:rPr>
                <w:rFonts w:ascii="Calibri" w:eastAsia="Arial" w:hAnsi="Calibri" w:cs="Calibri"/>
                <w:sz w:val="20"/>
                <w:szCs w:val="20"/>
                <w:lang w:val="en-AU"/>
              </w:rPr>
              <w:t xml:space="preserve">Level of </w:t>
            </w:r>
            <w:r>
              <w:rPr>
                <w:rFonts w:ascii="Calibri" w:eastAsia="Arial" w:hAnsi="Calibri" w:cs="Calibri"/>
                <w:sz w:val="20"/>
                <w:szCs w:val="20"/>
                <w:lang w:val="en-AU"/>
              </w:rPr>
              <w:t xml:space="preserve">scheme </w:t>
            </w:r>
            <w:r w:rsidRPr="006B13C1">
              <w:rPr>
                <w:rFonts w:ascii="Calibri" w:eastAsia="Arial" w:hAnsi="Calibri" w:cs="Calibri"/>
                <w:sz w:val="20"/>
                <w:szCs w:val="20"/>
                <w:lang w:val="en-AU"/>
              </w:rPr>
              <w:t xml:space="preserve">deposits </w:t>
            </w:r>
            <w:r>
              <w:rPr>
                <w:rFonts w:ascii="Calibri" w:eastAsia="Arial" w:hAnsi="Calibri" w:cs="Calibri"/>
                <w:sz w:val="20"/>
                <w:szCs w:val="20"/>
                <w:lang w:val="en-AU"/>
              </w:rPr>
              <w:t xml:space="preserve">and </w:t>
            </w:r>
            <w:r w:rsidRPr="006B13C1">
              <w:rPr>
                <w:rFonts w:ascii="Calibri" w:eastAsia="Arial" w:hAnsi="Calibri" w:cs="Calibri"/>
                <w:sz w:val="20"/>
                <w:szCs w:val="20"/>
                <w:lang w:val="en-AU"/>
              </w:rPr>
              <w:t xml:space="preserve">fee </w:t>
            </w:r>
          </w:p>
          <w:p w14:paraId="2BE0DBCC" w14:textId="77777777" w:rsidR="00832879" w:rsidRDefault="00832879" w:rsidP="00566DB7">
            <w:pPr>
              <w:suppressAutoHyphens/>
              <w:spacing w:after="60" w:line="259" w:lineRule="auto"/>
              <w:rPr>
                <w:rFonts w:ascii="Calibri" w:eastAsia="Arial" w:hAnsi="Calibri" w:cs="Calibri"/>
                <w:b/>
                <w:bCs/>
                <w:sz w:val="20"/>
                <w:szCs w:val="20"/>
                <w:lang w:val="en-AU"/>
              </w:rPr>
            </w:pPr>
          </w:p>
          <w:p w14:paraId="6C5CF374" w14:textId="0D61C63C" w:rsidR="00832879" w:rsidRPr="00210B21" w:rsidRDefault="00832879" w:rsidP="00566DB7">
            <w:pPr>
              <w:suppressAutoHyphens/>
              <w:spacing w:after="60" w:line="259" w:lineRule="auto"/>
              <w:rPr>
                <w:rFonts w:ascii="Calibri" w:eastAsia="Arial" w:hAnsi="Calibri" w:cs="Calibri"/>
                <w:b/>
                <w:bCs/>
                <w:sz w:val="20"/>
                <w:szCs w:val="20"/>
                <w:lang w:val="en-AU"/>
              </w:rPr>
            </w:pPr>
            <w:r w:rsidRPr="006B13C1">
              <w:rPr>
                <w:rFonts w:ascii="Calibri" w:eastAsia="Arial" w:hAnsi="Calibri" w:cs="Calibri"/>
                <w:sz w:val="20"/>
                <w:szCs w:val="20"/>
                <w:lang w:val="en-AU"/>
              </w:rPr>
              <w:t xml:space="preserve">Recommended to </w:t>
            </w:r>
            <w:r>
              <w:rPr>
                <w:rFonts w:ascii="Calibri" w:eastAsia="Arial" w:hAnsi="Calibri" w:cs="Calibri"/>
                <w:sz w:val="20"/>
                <w:szCs w:val="20"/>
                <w:lang w:val="en-AU"/>
              </w:rPr>
              <w:t xml:space="preserve">list included </w:t>
            </w:r>
            <w:r w:rsidR="00AA0306" w:rsidRPr="00AA0306">
              <w:rPr>
                <w:rFonts w:ascii="Calibri" w:eastAsia="Arial" w:hAnsi="Calibri" w:cs="Calibri"/>
                <w:sz w:val="20"/>
                <w:szCs w:val="20"/>
                <w:lang w:val="en-AU"/>
              </w:rPr>
              <w:t xml:space="preserve">items </w:t>
            </w:r>
            <w:r w:rsidRPr="006B13C1">
              <w:rPr>
                <w:rFonts w:ascii="Calibri" w:eastAsia="Arial" w:hAnsi="Calibri" w:cs="Calibri"/>
                <w:sz w:val="20"/>
                <w:szCs w:val="20"/>
                <w:lang w:val="en-AU"/>
              </w:rPr>
              <w:t xml:space="preserve">in a Schedule to enable amendment as new </w:t>
            </w:r>
            <w:r>
              <w:rPr>
                <w:rFonts w:ascii="Calibri" w:eastAsia="Arial" w:hAnsi="Calibri" w:cs="Calibri"/>
                <w:sz w:val="20"/>
                <w:szCs w:val="20"/>
                <w:lang w:val="en-AU"/>
              </w:rPr>
              <w:t xml:space="preserve">problematic products are identified in country, new materials processing facility established, or </w:t>
            </w:r>
            <w:r w:rsidRPr="006B13C1">
              <w:rPr>
                <w:rFonts w:ascii="Calibri" w:eastAsia="Arial" w:hAnsi="Calibri" w:cs="Calibri"/>
                <w:sz w:val="20"/>
                <w:szCs w:val="20"/>
                <w:lang w:val="en-AU"/>
              </w:rPr>
              <w:t xml:space="preserve">recycle technology </w:t>
            </w:r>
            <w:r>
              <w:rPr>
                <w:rFonts w:ascii="Calibri" w:eastAsia="Arial" w:hAnsi="Calibri" w:cs="Calibri"/>
                <w:sz w:val="20"/>
                <w:szCs w:val="20"/>
                <w:lang w:val="en-AU"/>
              </w:rPr>
              <w:t>developed</w:t>
            </w:r>
            <w:r w:rsidR="00AA0306">
              <w:rPr>
                <w:rFonts w:ascii="Calibri" w:eastAsia="Arial" w:hAnsi="Calibri" w:cs="Calibri"/>
                <w:sz w:val="20"/>
                <w:szCs w:val="20"/>
                <w:lang w:val="en-AU"/>
              </w:rPr>
              <w:t>,</w:t>
            </w:r>
            <w:r>
              <w:rPr>
                <w:rFonts w:ascii="Calibri" w:eastAsia="Arial" w:hAnsi="Calibri" w:cs="Calibri"/>
                <w:sz w:val="20"/>
                <w:szCs w:val="20"/>
                <w:lang w:val="en-AU"/>
              </w:rPr>
              <w:t xml:space="preserve"> etc. </w:t>
            </w:r>
          </w:p>
          <w:p w14:paraId="3124F226" w14:textId="77777777" w:rsidR="00832879" w:rsidRPr="00210B21" w:rsidRDefault="00832879" w:rsidP="00566DB7">
            <w:pPr>
              <w:spacing w:after="60" w:line="259" w:lineRule="auto"/>
              <w:rPr>
                <w:rFonts w:ascii="Calibri" w:hAnsi="Calibri" w:cs="Calibri"/>
                <w:sz w:val="20"/>
                <w:szCs w:val="20"/>
                <w:lang w:val="en-AU"/>
              </w:rPr>
            </w:pPr>
          </w:p>
        </w:tc>
      </w:tr>
      <w:tr w:rsidR="00566DB7" w:rsidRPr="00210B21" w14:paraId="4D8EB7DF" w14:textId="77777777" w:rsidTr="00832879">
        <w:tc>
          <w:tcPr>
            <w:tcW w:w="2374" w:type="dxa"/>
            <w:shd w:val="clear" w:color="auto" w:fill="FBE4D5" w:themeFill="accent2" w:themeFillTint="33"/>
          </w:tcPr>
          <w:p w14:paraId="2FEAA1DF" w14:textId="29EC5E7A" w:rsidR="00566DB7" w:rsidRPr="00271961" w:rsidRDefault="008B7142" w:rsidP="00271961">
            <w:pPr>
              <w:pStyle w:val="ListParagraph"/>
              <w:numPr>
                <w:ilvl w:val="0"/>
                <w:numId w:val="30"/>
              </w:numPr>
              <w:spacing w:after="60" w:line="259" w:lineRule="auto"/>
              <w:ind w:left="590" w:hanging="567"/>
              <w:rPr>
                <w:rFonts w:ascii="Calibri" w:hAnsi="Calibri" w:cs="Calibri"/>
                <w:sz w:val="20"/>
                <w:szCs w:val="20"/>
                <w:lang w:val="en-AU"/>
              </w:rPr>
            </w:pPr>
            <w:r w:rsidRPr="00271961">
              <w:rPr>
                <w:rFonts w:ascii="Calibri" w:hAnsi="Calibri" w:cs="Calibri"/>
                <w:sz w:val="20"/>
                <w:szCs w:val="20"/>
                <w:lang w:val="en-AU"/>
              </w:rPr>
              <w:t>Assessment of GEDSI Dimensions</w:t>
            </w:r>
          </w:p>
        </w:tc>
        <w:tc>
          <w:tcPr>
            <w:tcW w:w="12222" w:type="dxa"/>
            <w:gridSpan w:val="5"/>
          </w:tcPr>
          <w:p w14:paraId="6F937204" w14:textId="77777777" w:rsidR="00566DB7" w:rsidRDefault="008B7142" w:rsidP="00566DB7">
            <w:pPr>
              <w:spacing w:after="60" w:line="259" w:lineRule="auto"/>
              <w:rPr>
                <w:rFonts w:ascii="Calibri" w:hAnsi="Calibri" w:cs="Calibri"/>
                <w:sz w:val="20"/>
                <w:szCs w:val="20"/>
                <w:lang w:val="en-AU"/>
              </w:rPr>
            </w:pPr>
            <w:r>
              <w:rPr>
                <w:rFonts w:ascii="Calibri" w:hAnsi="Calibri" w:cs="Calibri"/>
                <w:sz w:val="20"/>
                <w:szCs w:val="20"/>
                <w:lang w:val="en-AU"/>
              </w:rPr>
              <w:t>When considering scheme design and drafting scheme legislation, it is recommended to closely consider and consult with appropriate stakeholders to understand and reduce any impacts of GEDSI and marginalised groups.  The below lists some questions to consider.  Provide comments and reflect finding into scheme design and draft legislation.</w:t>
            </w:r>
          </w:p>
          <w:p w14:paraId="788A0C77" w14:textId="77777777" w:rsidR="008B7142" w:rsidRDefault="008B7142" w:rsidP="00566DB7">
            <w:pPr>
              <w:spacing w:after="60" w:line="259" w:lineRule="auto"/>
              <w:rPr>
                <w:rFonts w:ascii="Calibri" w:hAnsi="Calibri" w:cs="Calibri"/>
                <w:sz w:val="20"/>
                <w:szCs w:val="20"/>
                <w:lang w:val="en-AU"/>
              </w:rPr>
            </w:pPr>
          </w:p>
          <w:tbl>
            <w:tblPr>
              <w:tblStyle w:val="TableGrid"/>
              <w:tblW w:w="0" w:type="auto"/>
              <w:tblLook w:val="04A0" w:firstRow="1" w:lastRow="0" w:firstColumn="1" w:lastColumn="0" w:noHBand="0" w:noVBand="1"/>
            </w:tblPr>
            <w:tblGrid>
              <w:gridCol w:w="6438"/>
              <w:gridCol w:w="1559"/>
              <w:gridCol w:w="3999"/>
            </w:tblGrid>
            <w:tr w:rsidR="008B7142" w14:paraId="5E840091" w14:textId="77777777" w:rsidTr="008B7142">
              <w:tc>
                <w:tcPr>
                  <w:tcW w:w="6438" w:type="dxa"/>
                </w:tcPr>
                <w:p w14:paraId="74566930" w14:textId="633CE1F2" w:rsidR="008B7142" w:rsidRPr="008B7142" w:rsidRDefault="008B7142" w:rsidP="00D63B26">
                  <w:pPr>
                    <w:spacing w:after="60" w:line="259" w:lineRule="auto"/>
                    <w:jc w:val="center"/>
                    <w:rPr>
                      <w:rFonts w:ascii="Calibri" w:hAnsi="Calibri" w:cs="Calibri"/>
                      <w:b/>
                      <w:bCs/>
                      <w:sz w:val="20"/>
                      <w:szCs w:val="20"/>
                      <w:lang w:val="en-AU"/>
                    </w:rPr>
                  </w:pPr>
                  <w:r w:rsidRPr="008B7142">
                    <w:rPr>
                      <w:rFonts w:ascii="Calibri" w:hAnsi="Calibri" w:cs="Calibri"/>
                      <w:b/>
                      <w:bCs/>
                      <w:sz w:val="20"/>
                      <w:szCs w:val="20"/>
                      <w:lang w:val="en-AU"/>
                    </w:rPr>
                    <w:t>GEDSI Factor</w:t>
                  </w:r>
                </w:p>
              </w:tc>
              <w:tc>
                <w:tcPr>
                  <w:tcW w:w="1559" w:type="dxa"/>
                </w:tcPr>
                <w:p w14:paraId="5CEADB19" w14:textId="77777777" w:rsidR="00D63B26" w:rsidRDefault="008B7142" w:rsidP="00D63B26">
                  <w:pPr>
                    <w:spacing w:after="60" w:line="259" w:lineRule="auto"/>
                    <w:jc w:val="center"/>
                    <w:rPr>
                      <w:rFonts w:ascii="Calibri" w:hAnsi="Calibri" w:cs="Calibri"/>
                      <w:b/>
                      <w:bCs/>
                      <w:sz w:val="20"/>
                      <w:szCs w:val="20"/>
                      <w:lang w:val="en-AU"/>
                    </w:rPr>
                  </w:pPr>
                  <w:r w:rsidRPr="008B7142">
                    <w:rPr>
                      <w:rFonts w:ascii="Calibri" w:hAnsi="Calibri" w:cs="Calibri"/>
                      <w:b/>
                      <w:bCs/>
                      <w:sz w:val="20"/>
                      <w:szCs w:val="20"/>
                      <w:lang w:val="en-AU"/>
                    </w:rPr>
                    <w:t xml:space="preserve">Relevant for Scheme? </w:t>
                  </w:r>
                </w:p>
                <w:p w14:paraId="320E4AF4" w14:textId="6F0639F8" w:rsidR="008B7142" w:rsidRPr="008B7142" w:rsidRDefault="008B7142" w:rsidP="00D63B26">
                  <w:pPr>
                    <w:spacing w:after="60" w:line="259" w:lineRule="auto"/>
                    <w:jc w:val="center"/>
                    <w:rPr>
                      <w:rFonts w:ascii="Calibri" w:hAnsi="Calibri" w:cs="Calibri"/>
                      <w:b/>
                      <w:bCs/>
                      <w:sz w:val="20"/>
                      <w:szCs w:val="20"/>
                      <w:lang w:val="en-AU"/>
                    </w:rPr>
                  </w:pPr>
                  <w:r w:rsidRPr="008B7142">
                    <w:rPr>
                      <w:rFonts w:ascii="Calibri" w:hAnsi="Calibri" w:cs="Calibri"/>
                      <w:b/>
                      <w:bCs/>
                      <w:sz w:val="20"/>
                      <w:szCs w:val="20"/>
                      <w:lang w:val="en-AU"/>
                    </w:rPr>
                    <w:t>Y / N</w:t>
                  </w:r>
                </w:p>
              </w:tc>
              <w:tc>
                <w:tcPr>
                  <w:tcW w:w="3999" w:type="dxa"/>
                </w:tcPr>
                <w:p w14:paraId="695E377F" w14:textId="0288D0EE" w:rsidR="008B7142" w:rsidRPr="008B7142" w:rsidRDefault="008B7142" w:rsidP="00D63B26">
                  <w:pPr>
                    <w:spacing w:after="60" w:line="259" w:lineRule="auto"/>
                    <w:jc w:val="center"/>
                    <w:rPr>
                      <w:rFonts w:ascii="Calibri" w:hAnsi="Calibri" w:cs="Calibri"/>
                      <w:b/>
                      <w:bCs/>
                      <w:sz w:val="20"/>
                      <w:szCs w:val="20"/>
                      <w:lang w:val="en-AU"/>
                    </w:rPr>
                  </w:pPr>
                  <w:r w:rsidRPr="008B7142">
                    <w:rPr>
                      <w:rFonts w:ascii="Calibri" w:hAnsi="Calibri" w:cs="Calibri"/>
                      <w:b/>
                      <w:bCs/>
                      <w:sz w:val="20"/>
                      <w:szCs w:val="20"/>
                      <w:lang w:val="en-AU"/>
                    </w:rPr>
                    <w:t xml:space="preserve">Comment on Mitigation </w:t>
                  </w:r>
                  <w:r w:rsidR="00884542">
                    <w:rPr>
                      <w:rFonts w:ascii="Calibri" w:hAnsi="Calibri" w:cs="Calibri"/>
                      <w:b/>
                      <w:bCs/>
                      <w:sz w:val="20"/>
                      <w:szCs w:val="20"/>
                      <w:lang w:val="en-AU"/>
                    </w:rPr>
                    <w:t xml:space="preserve">Measures </w:t>
                  </w:r>
                  <w:r w:rsidRPr="008B7142">
                    <w:rPr>
                      <w:rFonts w:ascii="Calibri" w:hAnsi="Calibri" w:cs="Calibri"/>
                      <w:b/>
                      <w:bCs/>
                      <w:sz w:val="20"/>
                      <w:szCs w:val="20"/>
                      <w:lang w:val="en-AU"/>
                    </w:rPr>
                    <w:t xml:space="preserve">and </w:t>
                  </w:r>
                  <w:r w:rsidR="00D63B26">
                    <w:rPr>
                      <w:rFonts w:ascii="Calibri" w:hAnsi="Calibri" w:cs="Calibri"/>
                      <w:b/>
                      <w:bCs/>
                      <w:sz w:val="20"/>
                      <w:szCs w:val="20"/>
                      <w:lang w:val="en-AU"/>
                    </w:rPr>
                    <w:t xml:space="preserve">How </w:t>
                  </w:r>
                  <w:r>
                    <w:rPr>
                      <w:rFonts w:ascii="Calibri" w:hAnsi="Calibri" w:cs="Calibri"/>
                      <w:b/>
                      <w:bCs/>
                      <w:sz w:val="20"/>
                      <w:szCs w:val="20"/>
                      <w:lang w:val="en-AU"/>
                    </w:rPr>
                    <w:t>R</w:t>
                  </w:r>
                  <w:r w:rsidRPr="008B7142">
                    <w:rPr>
                      <w:rFonts w:ascii="Calibri" w:hAnsi="Calibri" w:cs="Calibri"/>
                      <w:b/>
                      <w:bCs/>
                      <w:sz w:val="20"/>
                      <w:szCs w:val="20"/>
                      <w:lang w:val="en-AU"/>
                    </w:rPr>
                    <w:t xml:space="preserve">eflected in </w:t>
                  </w:r>
                  <w:r>
                    <w:rPr>
                      <w:rFonts w:ascii="Calibri" w:hAnsi="Calibri" w:cs="Calibri"/>
                      <w:b/>
                      <w:bCs/>
                      <w:sz w:val="20"/>
                      <w:szCs w:val="20"/>
                      <w:lang w:val="en-AU"/>
                    </w:rPr>
                    <w:t>S</w:t>
                  </w:r>
                  <w:r w:rsidRPr="008B7142">
                    <w:rPr>
                      <w:rFonts w:ascii="Calibri" w:hAnsi="Calibri" w:cs="Calibri"/>
                      <w:b/>
                      <w:bCs/>
                      <w:sz w:val="20"/>
                      <w:szCs w:val="20"/>
                      <w:lang w:val="en-AU"/>
                    </w:rPr>
                    <w:t xml:space="preserve">cheme </w:t>
                  </w:r>
                  <w:r>
                    <w:rPr>
                      <w:rFonts w:ascii="Calibri" w:hAnsi="Calibri" w:cs="Calibri"/>
                      <w:b/>
                      <w:bCs/>
                      <w:sz w:val="20"/>
                      <w:szCs w:val="20"/>
                      <w:lang w:val="en-AU"/>
                    </w:rPr>
                    <w:t>D</w:t>
                  </w:r>
                  <w:r w:rsidRPr="008B7142">
                    <w:rPr>
                      <w:rFonts w:ascii="Calibri" w:hAnsi="Calibri" w:cs="Calibri"/>
                      <w:b/>
                      <w:bCs/>
                      <w:sz w:val="20"/>
                      <w:szCs w:val="20"/>
                      <w:lang w:val="en-AU"/>
                    </w:rPr>
                    <w:t xml:space="preserve">esign and </w:t>
                  </w:r>
                  <w:r>
                    <w:rPr>
                      <w:rFonts w:ascii="Calibri" w:hAnsi="Calibri" w:cs="Calibri"/>
                      <w:b/>
                      <w:bCs/>
                      <w:sz w:val="20"/>
                      <w:szCs w:val="20"/>
                      <w:lang w:val="en-AU"/>
                    </w:rPr>
                    <w:t>D</w:t>
                  </w:r>
                  <w:r w:rsidRPr="008B7142">
                    <w:rPr>
                      <w:rFonts w:ascii="Calibri" w:hAnsi="Calibri" w:cs="Calibri"/>
                      <w:b/>
                      <w:bCs/>
                      <w:sz w:val="20"/>
                      <w:szCs w:val="20"/>
                      <w:lang w:val="en-AU"/>
                    </w:rPr>
                    <w:t xml:space="preserve">raft </w:t>
                  </w:r>
                  <w:r>
                    <w:rPr>
                      <w:rFonts w:ascii="Calibri" w:hAnsi="Calibri" w:cs="Calibri"/>
                      <w:b/>
                      <w:bCs/>
                      <w:sz w:val="20"/>
                      <w:szCs w:val="20"/>
                      <w:lang w:val="en-AU"/>
                    </w:rPr>
                    <w:t>L</w:t>
                  </w:r>
                  <w:r w:rsidRPr="008B7142">
                    <w:rPr>
                      <w:rFonts w:ascii="Calibri" w:hAnsi="Calibri" w:cs="Calibri"/>
                      <w:b/>
                      <w:bCs/>
                      <w:sz w:val="20"/>
                      <w:szCs w:val="20"/>
                      <w:lang w:val="en-AU"/>
                    </w:rPr>
                    <w:t>egislation</w:t>
                  </w:r>
                </w:p>
              </w:tc>
            </w:tr>
            <w:tr w:rsidR="008B7142" w14:paraId="3093E913" w14:textId="77777777" w:rsidTr="008B7142">
              <w:tc>
                <w:tcPr>
                  <w:tcW w:w="6438" w:type="dxa"/>
                </w:tcPr>
                <w:p w14:paraId="09169711" w14:textId="1D5BA44C" w:rsidR="008B7142" w:rsidRDefault="00884542" w:rsidP="00566DB7">
                  <w:pPr>
                    <w:spacing w:after="60" w:line="259" w:lineRule="auto"/>
                    <w:rPr>
                      <w:rFonts w:ascii="Calibri" w:hAnsi="Calibri" w:cs="Calibri"/>
                      <w:sz w:val="20"/>
                      <w:szCs w:val="20"/>
                      <w:lang w:val="en-AU"/>
                    </w:rPr>
                  </w:pPr>
                  <w:r>
                    <w:rPr>
                      <w:rFonts w:ascii="Calibri" w:hAnsi="Calibri" w:cs="Calibri"/>
                      <w:sz w:val="20"/>
                      <w:szCs w:val="20"/>
                      <w:lang w:val="en-AU"/>
                    </w:rPr>
                    <w:t xml:space="preserve">Could </w:t>
                  </w:r>
                  <w:r w:rsidR="008B7142" w:rsidRPr="005C6846">
                    <w:rPr>
                      <w:rFonts w:ascii="Calibri" w:hAnsi="Calibri" w:cs="Calibri"/>
                      <w:sz w:val="20"/>
                      <w:szCs w:val="20"/>
                      <w:lang w:val="en-AU"/>
                    </w:rPr>
                    <w:t xml:space="preserve">the legislation affect low-income households disproportionally? </w:t>
                  </w:r>
                  <w:r w:rsidR="008B7142">
                    <w:rPr>
                      <w:rFonts w:ascii="Calibri" w:hAnsi="Calibri" w:cs="Calibri"/>
                      <w:sz w:val="20"/>
                      <w:szCs w:val="20"/>
                      <w:lang w:val="en-AU"/>
                    </w:rPr>
                    <w:t>(i.e., l</w:t>
                  </w:r>
                  <w:r w:rsidR="008B7142" w:rsidRPr="005C6846">
                    <w:rPr>
                      <w:rFonts w:ascii="Calibri" w:hAnsi="Calibri" w:cs="Calibri"/>
                      <w:sz w:val="20"/>
                      <w:szCs w:val="20"/>
                      <w:lang w:val="en-AU"/>
                    </w:rPr>
                    <w:t xml:space="preserve">ow-income households will have to spend proportionally more of their income for purchasing the same </w:t>
                  </w:r>
                  <w:r w:rsidR="008B7142">
                    <w:rPr>
                      <w:rFonts w:ascii="Calibri" w:hAnsi="Calibri" w:cs="Calibri"/>
                      <w:sz w:val="20"/>
                      <w:szCs w:val="20"/>
                      <w:lang w:val="en-AU"/>
                    </w:rPr>
                    <w:t xml:space="preserve">items </w:t>
                  </w:r>
                  <w:r w:rsidR="008B7142" w:rsidRPr="005C6846">
                    <w:rPr>
                      <w:rFonts w:ascii="Calibri" w:hAnsi="Calibri" w:cs="Calibri"/>
                      <w:sz w:val="20"/>
                      <w:szCs w:val="20"/>
                      <w:lang w:val="en-AU"/>
                    </w:rPr>
                    <w:t>as people with a higher income</w:t>
                  </w:r>
                  <w:r w:rsidR="008B7142">
                    <w:rPr>
                      <w:rFonts w:ascii="Calibri" w:hAnsi="Calibri" w:cs="Calibri"/>
                      <w:sz w:val="20"/>
                      <w:szCs w:val="20"/>
                      <w:lang w:val="en-AU"/>
                    </w:rPr>
                    <w:t>)</w:t>
                  </w:r>
                  <w:r w:rsidR="008B7142" w:rsidRPr="005C6846">
                    <w:rPr>
                      <w:rFonts w:ascii="Calibri" w:hAnsi="Calibri" w:cs="Calibri"/>
                      <w:sz w:val="20"/>
                      <w:szCs w:val="20"/>
                      <w:lang w:val="en-AU"/>
                    </w:rPr>
                    <w:t xml:space="preserve"> </w:t>
                  </w:r>
                </w:p>
              </w:tc>
              <w:tc>
                <w:tcPr>
                  <w:tcW w:w="1559" w:type="dxa"/>
                </w:tcPr>
                <w:p w14:paraId="42AE193A" w14:textId="77777777" w:rsidR="008B7142" w:rsidRDefault="008B7142" w:rsidP="00566DB7">
                  <w:pPr>
                    <w:spacing w:after="60" w:line="259" w:lineRule="auto"/>
                    <w:rPr>
                      <w:rFonts w:ascii="Calibri" w:hAnsi="Calibri" w:cs="Calibri"/>
                      <w:sz w:val="20"/>
                      <w:szCs w:val="20"/>
                      <w:lang w:val="en-AU"/>
                    </w:rPr>
                  </w:pPr>
                </w:p>
              </w:tc>
              <w:tc>
                <w:tcPr>
                  <w:tcW w:w="3999" w:type="dxa"/>
                </w:tcPr>
                <w:p w14:paraId="2C0AACCC" w14:textId="77777777" w:rsidR="008B7142" w:rsidRDefault="008B7142" w:rsidP="00566DB7">
                  <w:pPr>
                    <w:spacing w:after="60" w:line="259" w:lineRule="auto"/>
                    <w:rPr>
                      <w:rFonts w:ascii="Calibri" w:hAnsi="Calibri" w:cs="Calibri"/>
                      <w:sz w:val="20"/>
                      <w:szCs w:val="20"/>
                      <w:lang w:val="en-AU"/>
                    </w:rPr>
                  </w:pPr>
                </w:p>
              </w:tc>
            </w:tr>
            <w:tr w:rsidR="008B7142" w14:paraId="6EB40FB1" w14:textId="77777777" w:rsidTr="008B7142">
              <w:tc>
                <w:tcPr>
                  <w:tcW w:w="6438" w:type="dxa"/>
                </w:tcPr>
                <w:p w14:paraId="35614503" w14:textId="2FC86689" w:rsidR="008B7142" w:rsidRDefault="00884542" w:rsidP="00566DB7">
                  <w:pPr>
                    <w:spacing w:after="60" w:line="259" w:lineRule="auto"/>
                    <w:rPr>
                      <w:rFonts w:ascii="Calibri" w:hAnsi="Calibri" w:cs="Calibri"/>
                      <w:sz w:val="20"/>
                      <w:szCs w:val="20"/>
                      <w:lang w:val="en-AU"/>
                    </w:rPr>
                  </w:pPr>
                  <w:r>
                    <w:rPr>
                      <w:rFonts w:ascii="Calibri" w:hAnsi="Calibri" w:cs="Calibri"/>
                      <w:sz w:val="20"/>
                      <w:szCs w:val="20"/>
                      <w:lang w:val="en-AU"/>
                    </w:rPr>
                    <w:t>Will</w:t>
                  </w:r>
                  <w:r w:rsidRPr="00884542">
                    <w:rPr>
                      <w:rFonts w:ascii="Calibri" w:hAnsi="Calibri" w:cs="Calibri"/>
                      <w:sz w:val="20"/>
                      <w:szCs w:val="20"/>
                      <w:lang w:val="en-AU"/>
                    </w:rPr>
                    <w:t xml:space="preserve"> </w:t>
                  </w:r>
                  <w:r w:rsidR="008B7142" w:rsidRPr="005C6846">
                    <w:rPr>
                      <w:rFonts w:ascii="Calibri" w:hAnsi="Calibri" w:cs="Calibri"/>
                      <w:sz w:val="20"/>
                      <w:szCs w:val="20"/>
                      <w:lang w:val="en-AU"/>
                    </w:rPr>
                    <w:t>people without disabilities be able to return their containers and claim their refunds more easily than people with disabilities?</w:t>
                  </w:r>
                </w:p>
              </w:tc>
              <w:tc>
                <w:tcPr>
                  <w:tcW w:w="1559" w:type="dxa"/>
                </w:tcPr>
                <w:p w14:paraId="6FA14606" w14:textId="77777777" w:rsidR="008B7142" w:rsidRDefault="008B7142" w:rsidP="00566DB7">
                  <w:pPr>
                    <w:spacing w:after="60" w:line="259" w:lineRule="auto"/>
                    <w:rPr>
                      <w:rFonts w:ascii="Calibri" w:hAnsi="Calibri" w:cs="Calibri"/>
                      <w:sz w:val="20"/>
                      <w:szCs w:val="20"/>
                      <w:lang w:val="en-AU"/>
                    </w:rPr>
                  </w:pPr>
                </w:p>
              </w:tc>
              <w:tc>
                <w:tcPr>
                  <w:tcW w:w="3999" w:type="dxa"/>
                </w:tcPr>
                <w:p w14:paraId="19084E64" w14:textId="77777777" w:rsidR="008B7142" w:rsidRDefault="008B7142" w:rsidP="00566DB7">
                  <w:pPr>
                    <w:spacing w:after="60" w:line="259" w:lineRule="auto"/>
                    <w:rPr>
                      <w:rFonts w:ascii="Calibri" w:hAnsi="Calibri" w:cs="Calibri"/>
                      <w:sz w:val="20"/>
                      <w:szCs w:val="20"/>
                      <w:lang w:val="en-AU"/>
                    </w:rPr>
                  </w:pPr>
                </w:p>
              </w:tc>
            </w:tr>
            <w:tr w:rsidR="008B7142" w14:paraId="744C68D6" w14:textId="77777777" w:rsidTr="008B7142">
              <w:tc>
                <w:tcPr>
                  <w:tcW w:w="6438" w:type="dxa"/>
                </w:tcPr>
                <w:p w14:paraId="2280ACC0" w14:textId="53EF460A" w:rsidR="008B7142" w:rsidRPr="005C6846" w:rsidRDefault="00884542" w:rsidP="008B7142">
                  <w:pPr>
                    <w:spacing w:after="60" w:line="259" w:lineRule="auto"/>
                    <w:rPr>
                      <w:rFonts w:ascii="Calibri" w:hAnsi="Calibri" w:cs="Calibri"/>
                      <w:sz w:val="20"/>
                      <w:szCs w:val="20"/>
                      <w:lang w:val="en-AU"/>
                    </w:rPr>
                  </w:pPr>
                  <w:r w:rsidRPr="00884542">
                    <w:rPr>
                      <w:rFonts w:ascii="Calibri" w:hAnsi="Calibri" w:cs="Calibri"/>
                      <w:sz w:val="20"/>
                      <w:szCs w:val="20"/>
                      <w:lang w:val="en-AU"/>
                    </w:rPr>
                    <w:t xml:space="preserve">Will people </w:t>
                  </w:r>
                  <w:r w:rsidR="008B7142">
                    <w:rPr>
                      <w:rFonts w:ascii="Calibri" w:hAnsi="Calibri" w:cs="Calibri"/>
                      <w:sz w:val="20"/>
                      <w:szCs w:val="20"/>
                      <w:lang w:val="en-AU"/>
                    </w:rPr>
                    <w:t>in main towns</w:t>
                  </w:r>
                  <w:r w:rsidR="008B7142" w:rsidRPr="008B7142">
                    <w:rPr>
                      <w:rFonts w:ascii="Calibri" w:hAnsi="Calibri" w:cs="Calibri"/>
                      <w:sz w:val="20"/>
                      <w:szCs w:val="20"/>
                      <w:lang w:val="en-AU"/>
                    </w:rPr>
                    <w:t xml:space="preserve"> be able to return their containers and claim their refunds more easily than residents of outer islands and rural or remote communities?</w:t>
                  </w:r>
                </w:p>
              </w:tc>
              <w:tc>
                <w:tcPr>
                  <w:tcW w:w="1559" w:type="dxa"/>
                </w:tcPr>
                <w:p w14:paraId="3D6FFE8E" w14:textId="77777777" w:rsidR="008B7142" w:rsidRDefault="008B7142" w:rsidP="00566DB7">
                  <w:pPr>
                    <w:spacing w:after="60" w:line="259" w:lineRule="auto"/>
                    <w:rPr>
                      <w:rFonts w:ascii="Calibri" w:hAnsi="Calibri" w:cs="Calibri"/>
                      <w:sz w:val="20"/>
                      <w:szCs w:val="20"/>
                      <w:lang w:val="en-AU"/>
                    </w:rPr>
                  </w:pPr>
                </w:p>
              </w:tc>
              <w:tc>
                <w:tcPr>
                  <w:tcW w:w="3999" w:type="dxa"/>
                </w:tcPr>
                <w:p w14:paraId="0C8563A5" w14:textId="77777777" w:rsidR="008B7142" w:rsidRDefault="008B7142" w:rsidP="00566DB7">
                  <w:pPr>
                    <w:spacing w:after="60" w:line="259" w:lineRule="auto"/>
                    <w:rPr>
                      <w:rFonts w:ascii="Calibri" w:hAnsi="Calibri" w:cs="Calibri"/>
                      <w:sz w:val="20"/>
                      <w:szCs w:val="20"/>
                      <w:lang w:val="en-AU"/>
                    </w:rPr>
                  </w:pPr>
                </w:p>
              </w:tc>
            </w:tr>
            <w:tr w:rsidR="00884542" w14:paraId="50F8AA58" w14:textId="77777777" w:rsidTr="008B7142">
              <w:tc>
                <w:tcPr>
                  <w:tcW w:w="6438" w:type="dxa"/>
                </w:tcPr>
                <w:p w14:paraId="5E66884B" w14:textId="22430D11" w:rsidR="00884542" w:rsidRPr="00884542" w:rsidRDefault="00884542" w:rsidP="00884542">
                  <w:pPr>
                    <w:spacing w:after="60" w:line="259" w:lineRule="auto"/>
                    <w:rPr>
                      <w:rFonts w:ascii="Calibri" w:hAnsi="Calibri" w:cs="Calibri"/>
                      <w:sz w:val="20"/>
                      <w:szCs w:val="20"/>
                      <w:lang w:val="en-AU"/>
                    </w:rPr>
                  </w:pPr>
                  <w:r w:rsidRPr="00884542">
                    <w:rPr>
                      <w:rFonts w:ascii="Calibri" w:hAnsi="Calibri" w:cs="Calibri"/>
                      <w:sz w:val="20"/>
                      <w:szCs w:val="20"/>
                      <w:lang w:val="en-AU"/>
                    </w:rPr>
                    <w:t xml:space="preserve">Will people </w:t>
                  </w:r>
                  <w:r w:rsidRPr="005C6846">
                    <w:rPr>
                      <w:rFonts w:ascii="Calibri" w:hAnsi="Calibri" w:cs="Calibri"/>
                      <w:sz w:val="20"/>
                      <w:szCs w:val="20"/>
                      <w:lang w:val="en-AU"/>
                    </w:rPr>
                    <w:t xml:space="preserve">without </w:t>
                  </w:r>
                  <w:r>
                    <w:rPr>
                      <w:rFonts w:ascii="Calibri" w:hAnsi="Calibri" w:cs="Calibri"/>
                      <w:sz w:val="20"/>
                      <w:szCs w:val="20"/>
                      <w:lang w:val="en-AU"/>
                    </w:rPr>
                    <w:t xml:space="preserve">caregiving responsibilities </w:t>
                  </w:r>
                  <w:r w:rsidRPr="005C6846">
                    <w:rPr>
                      <w:rFonts w:ascii="Calibri" w:hAnsi="Calibri" w:cs="Calibri"/>
                      <w:sz w:val="20"/>
                      <w:szCs w:val="20"/>
                      <w:lang w:val="en-AU"/>
                    </w:rPr>
                    <w:t xml:space="preserve">be able to return their containers and claim their refunds more easily than people with </w:t>
                  </w:r>
                  <w:r w:rsidRPr="00884542">
                    <w:rPr>
                      <w:rFonts w:ascii="Calibri" w:hAnsi="Calibri" w:cs="Calibri"/>
                      <w:sz w:val="20"/>
                      <w:szCs w:val="20"/>
                      <w:lang w:val="en-AU"/>
                    </w:rPr>
                    <w:t>caregiving responsibilities</w:t>
                  </w:r>
                  <w:r w:rsidRPr="005C6846">
                    <w:rPr>
                      <w:rFonts w:ascii="Calibri" w:hAnsi="Calibri" w:cs="Calibri"/>
                      <w:sz w:val="20"/>
                      <w:szCs w:val="20"/>
                      <w:lang w:val="en-AU"/>
                    </w:rPr>
                    <w:t>?</w:t>
                  </w:r>
                </w:p>
              </w:tc>
              <w:tc>
                <w:tcPr>
                  <w:tcW w:w="1559" w:type="dxa"/>
                </w:tcPr>
                <w:p w14:paraId="1E879591" w14:textId="77777777" w:rsidR="00884542" w:rsidRDefault="00884542" w:rsidP="00884542">
                  <w:pPr>
                    <w:spacing w:after="60" w:line="259" w:lineRule="auto"/>
                    <w:rPr>
                      <w:rFonts w:ascii="Calibri" w:hAnsi="Calibri" w:cs="Calibri"/>
                      <w:sz w:val="20"/>
                      <w:szCs w:val="20"/>
                      <w:lang w:val="en-AU"/>
                    </w:rPr>
                  </w:pPr>
                </w:p>
              </w:tc>
              <w:tc>
                <w:tcPr>
                  <w:tcW w:w="3999" w:type="dxa"/>
                </w:tcPr>
                <w:p w14:paraId="528199DE" w14:textId="77777777" w:rsidR="00884542" w:rsidRDefault="00884542" w:rsidP="00884542">
                  <w:pPr>
                    <w:spacing w:after="60" w:line="259" w:lineRule="auto"/>
                    <w:rPr>
                      <w:rFonts w:ascii="Calibri" w:hAnsi="Calibri" w:cs="Calibri"/>
                      <w:sz w:val="20"/>
                      <w:szCs w:val="20"/>
                      <w:lang w:val="en-AU"/>
                    </w:rPr>
                  </w:pPr>
                </w:p>
              </w:tc>
            </w:tr>
            <w:tr w:rsidR="00884542" w14:paraId="024BAED5" w14:textId="77777777" w:rsidTr="008B7142">
              <w:tc>
                <w:tcPr>
                  <w:tcW w:w="6438" w:type="dxa"/>
                </w:tcPr>
                <w:p w14:paraId="448A4ACB" w14:textId="049F5D7E" w:rsidR="00884542" w:rsidRPr="00884542" w:rsidRDefault="00884542" w:rsidP="00884542">
                  <w:pPr>
                    <w:spacing w:after="60" w:line="259" w:lineRule="auto"/>
                    <w:rPr>
                      <w:rFonts w:ascii="Calibri" w:hAnsi="Calibri" w:cs="Calibri"/>
                      <w:sz w:val="20"/>
                      <w:szCs w:val="20"/>
                      <w:lang w:val="en-AU"/>
                    </w:rPr>
                  </w:pPr>
                  <w:r w:rsidRPr="00884542">
                    <w:rPr>
                      <w:rFonts w:ascii="Calibri" w:hAnsi="Calibri" w:cs="Calibri"/>
                      <w:sz w:val="20"/>
                      <w:szCs w:val="20"/>
                      <w:lang w:val="en-AU"/>
                    </w:rPr>
                    <w:t xml:space="preserve">Will there </w:t>
                  </w:r>
                  <w:r>
                    <w:rPr>
                      <w:rFonts w:ascii="Calibri" w:hAnsi="Calibri" w:cs="Calibri"/>
                      <w:sz w:val="20"/>
                      <w:szCs w:val="20"/>
                      <w:lang w:val="en-AU"/>
                    </w:rPr>
                    <w:t xml:space="preserve">be </w:t>
                  </w:r>
                  <w:r w:rsidRPr="00884542">
                    <w:rPr>
                      <w:rFonts w:ascii="Calibri" w:hAnsi="Calibri" w:cs="Calibri"/>
                      <w:sz w:val="20"/>
                      <w:szCs w:val="20"/>
                      <w:lang w:val="en-AU"/>
                    </w:rPr>
                    <w:t>enough</w:t>
                  </w:r>
                  <w:r>
                    <w:rPr>
                      <w:rFonts w:ascii="Calibri" w:hAnsi="Calibri" w:cs="Calibri"/>
                      <w:sz w:val="20"/>
                      <w:szCs w:val="20"/>
                      <w:lang w:val="en-AU"/>
                    </w:rPr>
                    <w:t xml:space="preserve"> C</w:t>
                  </w:r>
                  <w:r w:rsidRPr="00884542">
                    <w:rPr>
                      <w:rFonts w:ascii="Calibri" w:hAnsi="Calibri" w:cs="Calibri"/>
                      <w:sz w:val="20"/>
                      <w:szCs w:val="20"/>
                      <w:lang w:val="en-AU"/>
                    </w:rPr>
                    <w:t xml:space="preserve">ollection </w:t>
                  </w:r>
                  <w:r>
                    <w:rPr>
                      <w:rFonts w:ascii="Calibri" w:hAnsi="Calibri" w:cs="Calibri"/>
                      <w:sz w:val="20"/>
                      <w:szCs w:val="20"/>
                      <w:lang w:val="en-AU"/>
                    </w:rPr>
                    <w:t xml:space="preserve">Depots </w:t>
                  </w:r>
                  <w:r w:rsidRPr="00884542">
                    <w:rPr>
                      <w:rFonts w:ascii="Calibri" w:hAnsi="Calibri" w:cs="Calibri"/>
                      <w:sz w:val="20"/>
                      <w:szCs w:val="20"/>
                      <w:lang w:val="en-AU"/>
                    </w:rPr>
                    <w:t>to provide for equality for all users of the scheme?</w:t>
                  </w:r>
                </w:p>
              </w:tc>
              <w:tc>
                <w:tcPr>
                  <w:tcW w:w="1559" w:type="dxa"/>
                </w:tcPr>
                <w:p w14:paraId="086417B4" w14:textId="77777777" w:rsidR="00884542" w:rsidRDefault="00884542" w:rsidP="00884542">
                  <w:pPr>
                    <w:spacing w:after="60" w:line="259" w:lineRule="auto"/>
                    <w:rPr>
                      <w:rFonts w:ascii="Calibri" w:hAnsi="Calibri" w:cs="Calibri"/>
                      <w:sz w:val="20"/>
                      <w:szCs w:val="20"/>
                      <w:lang w:val="en-AU"/>
                    </w:rPr>
                  </w:pPr>
                </w:p>
              </w:tc>
              <w:tc>
                <w:tcPr>
                  <w:tcW w:w="3999" w:type="dxa"/>
                </w:tcPr>
                <w:p w14:paraId="02EE1296" w14:textId="77777777" w:rsidR="00884542" w:rsidRDefault="00884542" w:rsidP="00884542">
                  <w:pPr>
                    <w:spacing w:after="60" w:line="259" w:lineRule="auto"/>
                    <w:rPr>
                      <w:rFonts w:ascii="Calibri" w:hAnsi="Calibri" w:cs="Calibri"/>
                      <w:sz w:val="20"/>
                      <w:szCs w:val="20"/>
                      <w:lang w:val="en-AU"/>
                    </w:rPr>
                  </w:pPr>
                </w:p>
              </w:tc>
            </w:tr>
            <w:tr w:rsidR="00884542" w14:paraId="7466393F" w14:textId="77777777" w:rsidTr="008B7142">
              <w:tc>
                <w:tcPr>
                  <w:tcW w:w="6438" w:type="dxa"/>
                </w:tcPr>
                <w:p w14:paraId="34650EC4" w14:textId="37917D77" w:rsidR="00884542" w:rsidRPr="00884542" w:rsidRDefault="00884542" w:rsidP="00884542">
                  <w:pPr>
                    <w:spacing w:after="60" w:line="259" w:lineRule="auto"/>
                    <w:rPr>
                      <w:rFonts w:ascii="Calibri" w:hAnsi="Calibri" w:cs="Calibri"/>
                      <w:sz w:val="20"/>
                      <w:szCs w:val="20"/>
                      <w:lang w:val="en-AU"/>
                    </w:rPr>
                  </w:pPr>
                  <w:r>
                    <w:rPr>
                      <w:rFonts w:ascii="Calibri" w:hAnsi="Calibri" w:cs="Calibri"/>
                      <w:sz w:val="20"/>
                      <w:szCs w:val="20"/>
                      <w:lang w:val="en-AU"/>
                    </w:rPr>
                    <w:t xml:space="preserve">Could employment opportunities through the scheme favour employment of one sex or demographic group over another? </w:t>
                  </w:r>
                </w:p>
              </w:tc>
              <w:tc>
                <w:tcPr>
                  <w:tcW w:w="1559" w:type="dxa"/>
                </w:tcPr>
                <w:p w14:paraId="23F43AAA" w14:textId="77777777" w:rsidR="00884542" w:rsidRDefault="00884542" w:rsidP="00884542">
                  <w:pPr>
                    <w:spacing w:after="60" w:line="259" w:lineRule="auto"/>
                    <w:rPr>
                      <w:rFonts w:ascii="Calibri" w:hAnsi="Calibri" w:cs="Calibri"/>
                      <w:sz w:val="20"/>
                      <w:szCs w:val="20"/>
                      <w:lang w:val="en-AU"/>
                    </w:rPr>
                  </w:pPr>
                </w:p>
              </w:tc>
              <w:tc>
                <w:tcPr>
                  <w:tcW w:w="3999" w:type="dxa"/>
                </w:tcPr>
                <w:p w14:paraId="6B7B4DD8" w14:textId="77777777" w:rsidR="00884542" w:rsidRDefault="00884542" w:rsidP="00884542">
                  <w:pPr>
                    <w:spacing w:after="60" w:line="259" w:lineRule="auto"/>
                    <w:rPr>
                      <w:rFonts w:ascii="Calibri" w:hAnsi="Calibri" w:cs="Calibri"/>
                      <w:sz w:val="20"/>
                      <w:szCs w:val="20"/>
                      <w:lang w:val="en-AU"/>
                    </w:rPr>
                  </w:pPr>
                </w:p>
              </w:tc>
            </w:tr>
            <w:tr w:rsidR="00884542" w14:paraId="27DECE5E" w14:textId="77777777" w:rsidTr="008B7142">
              <w:tc>
                <w:tcPr>
                  <w:tcW w:w="6438" w:type="dxa"/>
                </w:tcPr>
                <w:p w14:paraId="0CCAF071" w14:textId="2B59394C" w:rsidR="00884542" w:rsidRDefault="00884542" w:rsidP="00884542">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Other </w:t>
                  </w:r>
                </w:p>
              </w:tc>
              <w:tc>
                <w:tcPr>
                  <w:tcW w:w="1559" w:type="dxa"/>
                </w:tcPr>
                <w:p w14:paraId="6076CB55" w14:textId="77777777" w:rsidR="00884542" w:rsidRDefault="00884542" w:rsidP="00884542">
                  <w:pPr>
                    <w:spacing w:after="60" w:line="259" w:lineRule="auto"/>
                    <w:rPr>
                      <w:rFonts w:ascii="Calibri" w:hAnsi="Calibri" w:cs="Calibri"/>
                      <w:sz w:val="20"/>
                      <w:szCs w:val="20"/>
                      <w:lang w:val="en-AU"/>
                    </w:rPr>
                  </w:pPr>
                </w:p>
              </w:tc>
              <w:tc>
                <w:tcPr>
                  <w:tcW w:w="3999" w:type="dxa"/>
                </w:tcPr>
                <w:p w14:paraId="48636321" w14:textId="77777777" w:rsidR="00884542" w:rsidRDefault="00884542" w:rsidP="00884542">
                  <w:pPr>
                    <w:spacing w:after="60" w:line="259" w:lineRule="auto"/>
                    <w:rPr>
                      <w:rFonts w:ascii="Calibri" w:hAnsi="Calibri" w:cs="Calibri"/>
                      <w:sz w:val="20"/>
                      <w:szCs w:val="20"/>
                      <w:lang w:val="en-AU"/>
                    </w:rPr>
                  </w:pPr>
                </w:p>
              </w:tc>
            </w:tr>
            <w:tr w:rsidR="00884542" w14:paraId="1095207E" w14:textId="77777777" w:rsidTr="008B7142">
              <w:tc>
                <w:tcPr>
                  <w:tcW w:w="6438" w:type="dxa"/>
                </w:tcPr>
                <w:p w14:paraId="4BB40289" w14:textId="5557EFD8" w:rsidR="00884542" w:rsidRDefault="00884542" w:rsidP="00884542">
                  <w:pPr>
                    <w:spacing w:after="60" w:line="259" w:lineRule="auto"/>
                    <w:rPr>
                      <w:rFonts w:ascii="Calibri" w:hAnsi="Calibri" w:cs="Calibri"/>
                      <w:sz w:val="20"/>
                      <w:szCs w:val="20"/>
                      <w:lang w:val="en-AU"/>
                    </w:rPr>
                  </w:pPr>
                  <w:r w:rsidRPr="008B7142">
                    <w:rPr>
                      <w:rFonts w:ascii="Calibri" w:hAnsi="Calibri" w:cs="Calibri"/>
                      <w:sz w:val="20"/>
                      <w:szCs w:val="20"/>
                      <w:lang w:val="en-AU"/>
                    </w:rPr>
                    <w:t>Other</w:t>
                  </w:r>
                </w:p>
              </w:tc>
              <w:tc>
                <w:tcPr>
                  <w:tcW w:w="1559" w:type="dxa"/>
                </w:tcPr>
                <w:p w14:paraId="53D22A98" w14:textId="77777777" w:rsidR="00884542" w:rsidRDefault="00884542" w:rsidP="00884542">
                  <w:pPr>
                    <w:spacing w:after="60" w:line="259" w:lineRule="auto"/>
                    <w:rPr>
                      <w:rFonts w:ascii="Calibri" w:hAnsi="Calibri" w:cs="Calibri"/>
                      <w:sz w:val="20"/>
                      <w:szCs w:val="20"/>
                      <w:lang w:val="en-AU"/>
                    </w:rPr>
                  </w:pPr>
                </w:p>
              </w:tc>
              <w:tc>
                <w:tcPr>
                  <w:tcW w:w="3999" w:type="dxa"/>
                </w:tcPr>
                <w:p w14:paraId="40B8E77B" w14:textId="77777777" w:rsidR="00884542" w:rsidRDefault="00884542" w:rsidP="00884542">
                  <w:pPr>
                    <w:spacing w:after="60" w:line="259" w:lineRule="auto"/>
                    <w:rPr>
                      <w:rFonts w:ascii="Calibri" w:hAnsi="Calibri" w:cs="Calibri"/>
                      <w:sz w:val="20"/>
                      <w:szCs w:val="20"/>
                      <w:lang w:val="en-AU"/>
                    </w:rPr>
                  </w:pPr>
                </w:p>
              </w:tc>
            </w:tr>
          </w:tbl>
          <w:p w14:paraId="7776C17A" w14:textId="77777777" w:rsidR="008B7142" w:rsidRDefault="008B7142" w:rsidP="00566DB7">
            <w:pPr>
              <w:spacing w:after="60" w:line="259" w:lineRule="auto"/>
              <w:rPr>
                <w:rFonts w:ascii="Calibri" w:hAnsi="Calibri" w:cs="Calibri"/>
                <w:sz w:val="20"/>
                <w:szCs w:val="20"/>
                <w:lang w:val="en-AU"/>
              </w:rPr>
            </w:pPr>
          </w:p>
          <w:p w14:paraId="5750B077" w14:textId="371D4CDE" w:rsidR="008B7142" w:rsidRPr="00A83A43" w:rsidRDefault="008B7142" w:rsidP="00566DB7">
            <w:pPr>
              <w:spacing w:after="60" w:line="259" w:lineRule="auto"/>
              <w:rPr>
                <w:rFonts w:ascii="Calibri" w:hAnsi="Calibri" w:cs="Calibri"/>
                <w:sz w:val="20"/>
                <w:szCs w:val="20"/>
                <w:lang w:val="en-AU"/>
              </w:rPr>
            </w:pPr>
          </w:p>
        </w:tc>
      </w:tr>
      <w:tr w:rsidR="008B7142" w:rsidRPr="00210B21" w14:paraId="5A436D5A" w14:textId="77777777" w:rsidTr="008A3E3C">
        <w:tc>
          <w:tcPr>
            <w:tcW w:w="2374" w:type="dxa"/>
            <w:shd w:val="clear" w:color="auto" w:fill="FBE4D5" w:themeFill="accent2" w:themeFillTint="33"/>
          </w:tcPr>
          <w:p w14:paraId="3347D9A3" w14:textId="1845C177" w:rsidR="008B7142" w:rsidRPr="00271961" w:rsidRDefault="00271961" w:rsidP="008B7142">
            <w:pPr>
              <w:pStyle w:val="ListParagraph"/>
              <w:numPr>
                <w:ilvl w:val="0"/>
                <w:numId w:val="30"/>
              </w:numPr>
              <w:spacing w:after="60" w:line="259" w:lineRule="auto"/>
              <w:ind w:left="590" w:hanging="567"/>
              <w:rPr>
                <w:rFonts w:ascii="Calibri" w:hAnsi="Calibri" w:cs="Calibri"/>
                <w:sz w:val="20"/>
                <w:szCs w:val="20"/>
                <w:lang w:val="en-AU"/>
              </w:rPr>
            </w:pPr>
            <w:r>
              <w:rPr>
                <w:rFonts w:ascii="Calibri" w:hAnsi="Calibri" w:cs="Calibri"/>
                <w:sz w:val="20"/>
                <w:szCs w:val="20"/>
                <w:lang w:val="en-AU"/>
              </w:rPr>
              <w:lastRenderedPageBreak/>
              <w:t>K</w:t>
            </w:r>
            <w:r w:rsidR="008B7142" w:rsidRPr="00271961">
              <w:rPr>
                <w:rFonts w:ascii="Calibri" w:hAnsi="Calibri" w:cs="Calibri"/>
                <w:sz w:val="20"/>
                <w:szCs w:val="20"/>
                <w:lang w:val="en-AU"/>
              </w:rPr>
              <w:t xml:space="preserve">ey </w:t>
            </w:r>
            <w:r>
              <w:rPr>
                <w:rFonts w:ascii="Calibri" w:hAnsi="Calibri" w:cs="Calibri"/>
                <w:sz w:val="20"/>
                <w:szCs w:val="20"/>
                <w:lang w:val="en-AU"/>
              </w:rPr>
              <w:t>P</w:t>
            </w:r>
            <w:r w:rsidR="008B7142" w:rsidRPr="00271961">
              <w:rPr>
                <w:rFonts w:ascii="Calibri" w:hAnsi="Calibri" w:cs="Calibri"/>
                <w:sz w:val="20"/>
                <w:szCs w:val="20"/>
                <w:lang w:val="en-AU"/>
              </w:rPr>
              <w:t xml:space="preserve">rinciples </w:t>
            </w:r>
            <w:r>
              <w:rPr>
                <w:rFonts w:ascii="Calibri" w:hAnsi="Calibri" w:cs="Calibri"/>
                <w:sz w:val="20"/>
                <w:szCs w:val="20"/>
                <w:lang w:val="en-AU"/>
              </w:rPr>
              <w:t>I</w:t>
            </w:r>
            <w:r w:rsidR="008B7142" w:rsidRPr="00271961">
              <w:rPr>
                <w:rFonts w:ascii="Calibri" w:hAnsi="Calibri" w:cs="Calibri"/>
                <w:sz w:val="20"/>
                <w:szCs w:val="20"/>
                <w:lang w:val="en-AU"/>
              </w:rPr>
              <w:t xml:space="preserve">ncluded </w:t>
            </w:r>
            <w:r>
              <w:rPr>
                <w:rFonts w:ascii="Calibri" w:hAnsi="Calibri" w:cs="Calibri"/>
                <w:sz w:val="20"/>
                <w:szCs w:val="20"/>
                <w:lang w:val="en-AU"/>
              </w:rPr>
              <w:t>L</w:t>
            </w:r>
            <w:r w:rsidR="008B7142" w:rsidRPr="00271961">
              <w:rPr>
                <w:rFonts w:ascii="Calibri" w:hAnsi="Calibri" w:cs="Calibri"/>
                <w:sz w:val="20"/>
                <w:szCs w:val="20"/>
                <w:lang w:val="en-AU"/>
              </w:rPr>
              <w:t xml:space="preserve">egislation </w:t>
            </w:r>
          </w:p>
        </w:tc>
        <w:tc>
          <w:tcPr>
            <w:tcW w:w="12222" w:type="dxa"/>
            <w:gridSpan w:val="5"/>
          </w:tcPr>
          <w:p w14:paraId="47AB82D3" w14:textId="61FAD932" w:rsidR="008B7DEC" w:rsidRPr="008B7DEC" w:rsidRDefault="00C5455D" w:rsidP="008B7142">
            <w:pPr>
              <w:spacing w:after="60" w:line="259" w:lineRule="auto"/>
              <w:rPr>
                <w:rFonts w:ascii="Calibri" w:hAnsi="Calibri" w:cs="Calibri"/>
                <w:b/>
                <w:bCs/>
                <w:sz w:val="20"/>
                <w:szCs w:val="20"/>
                <w:lang w:val="en-AU"/>
              </w:rPr>
            </w:pPr>
            <w:r>
              <w:rPr>
                <w:rFonts w:ascii="Calibri" w:hAnsi="Calibri" w:cs="Calibri"/>
                <w:sz w:val="20"/>
                <w:szCs w:val="20"/>
                <w:lang w:val="en-AU"/>
              </w:rPr>
              <w:t xml:space="preserve">The table below provides </w:t>
            </w:r>
            <w:r w:rsidRPr="00C5455D">
              <w:rPr>
                <w:rFonts w:ascii="Calibri" w:hAnsi="Calibri" w:cs="Calibri"/>
                <w:sz w:val="20"/>
                <w:szCs w:val="20"/>
                <w:lang w:val="en-AU"/>
              </w:rPr>
              <w:t>recommended principles to be included in ARFD scheme legislation</w:t>
            </w:r>
            <w:r w:rsidR="008B7DEC">
              <w:rPr>
                <w:rFonts w:ascii="Calibri" w:hAnsi="Calibri" w:cs="Calibri"/>
                <w:sz w:val="20"/>
                <w:szCs w:val="20"/>
                <w:lang w:val="en-AU"/>
              </w:rPr>
              <w:t>, regardless the legal instrument(s) selected</w:t>
            </w:r>
            <w:r w:rsidRPr="00210B21">
              <w:rPr>
                <w:rFonts w:ascii="Calibri" w:hAnsi="Calibri" w:cs="Calibri"/>
                <w:sz w:val="20"/>
                <w:szCs w:val="20"/>
                <w:lang w:val="en-AU"/>
              </w:rPr>
              <w:t xml:space="preserve">.  </w:t>
            </w:r>
            <w:r>
              <w:rPr>
                <w:rFonts w:ascii="Calibri" w:hAnsi="Calibri" w:cs="Calibri"/>
                <w:sz w:val="20"/>
                <w:szCs w:val="20"/>
                <w:lang w:val="en-AU"/>
              </w:rPr>
              <w:t xml:space="preserve">Consider each </w:t>
            </w:r>
            <w:r w:rsidR="008B7DEC" w:rsidRPr="008B7DEC">
              <w:rPr>
                <w:rFonts w:ascii="Calibri" w:hAnsi="Calibri" w:cs="Calibri"/>
                <w:sz w:val="20"/>
                <w:szCs w:val="20"/>
                <w:lang w:val="en-AU"/>
              </w:rPr>
              <w:t>principle</w:t>
            </w:r>
            <w:r w:rsidR="008B7DEC">
              <w:rPr>
                <w:rFonts w:ascii="Calibri" w:hAnsi="Calibri" w:cs="Calibri"/>
                <w:sz w:val="20"/>
                <w:szCs w:val="20"/>
                <w:lang w:val="en-AU"/>
              </w:rPr>
              <w:t xml:space="preserve"> </w:t>
            </w:r>
            <w:r>
              <w:rPr>
                <w:rFonts w:ascii="Calibri" w:hAnsi="Calibri" w:cs="Calibri"/>
                <w:sz w:val="20"/>
                <w:szCs w:val="20"/>
                <w:lang w:val="en-AU"/>
              </w:rPr>
              <w:t xml:space="preserve">and provide </w:t>
            </w:r>
            <w:r w:rsidRPr="00C5455D">
              <w:rPr>
                <w:rFonts w:ascii="Calibri" w:hAnsi="Calibri" w:cs="Calibri"/>
                <w:sz w:val="20"/>
                <w:szCs w:val="20"/>
                <w:lang w:val="en-AU"/>
              </w:rPr>
              <w:t xml:space="preserve">comments on what legislation/regulation/reform may be </w:t>
            </w:r>
            <w:r>
              <w:rPr>
                <w:rFonts w:ascii="Calibri" w:hAnsi="Calibri" w:cs="Calibri"/>
                <w:sz w:val="20"/>
                <w:szCs w:val="20"/>
                <w:lang w:val="en-AU"/>
              </w:rPr>
              <w:t xml:space="preserve">appropriate to reflect. </w:t>
            </w:r>
            <w:r w:rsidR="008B7DEC">
              <w:rPr>
                <w:rFonts w:ascii="Calibri" w:hAnsi="Calibri" w:cs="Calibri"/>
                <w:sz w:val="20"/>
                <w:szCs w:val="20"/>
                <w:lang w:val="en-AU"/>
              </w:rPr>
              <w:t xml:space="preserve">Some recommended principles may identify required </w:t>
            </w:r>
            <w:r w:rsidR="008B7DEC" w:rsidRPr="008B7DEC">
              <w:rPr>
                <w:rFonts w:ascii="Calibri" w:hAnsi="Calibri" w:cs="Calibri"/>
                <w:sz w:val="20"/>
                <w:szCs w:val="20"/>
                <w:lang w:val="en-AU"/>
              </w:rPr>
              <w:t xml:space="preserve">reform or repeal </w:t>
            </w:r>
            <w:r w:rsidR="008B7DEC">
              <w:rPr>
                <w:rFonts w:ascii="Calibri" w:hAnsi="Calibri" w:cs="Calibri"/>
                <w:sz w:val="20"/>
                <w:szCs w:val="20"/>
                <w:lang w:val="en-AU"/>
              </w:rPr>
              <w:t xml:space="preserve">to existing legislation </w:t>
            </w:r>
            <w:r w:rsidR="008B7DEC" w:rsidRPr="008B7DEC">
              <w:rPr>
                <w:rFonts w:ascii="Calibri" w:hAnsi="Calibri" w:cs="Calibri"/>
                <w:sz w:val="20"/>
                <w:szCs w:val="20"/>
                <w:lang w:val="en-AU"/>
              </w:rPr>
              <w:t>(e.g., Customs, Finance, Criminal)</w:t>
            </w:r>
            <w:r w:rsidR="008B7DEC">
              <w:rPr>
                <w:rFonts w:ascii="Calibri" w:hAnsi="Calibri" w:cs="Calibri"/>
                <w:sz w:val="20"/>
                <w:szCs w:val="20"/>
                <w:lang w:val="en-AU"/>
              </w:rPr>
              <w:t xml:space="preserve">.  It is recommended to clearly note these in the following table.  </w:t>
            </w:r>
            <w:r w:rsidR="008B7DEC" w:rsidRPr="008B7DEC">
              <w:rPr>
                <w:rFonts w:ascii="Calibri" w:hAnsi="Calibri" w:cs="Calibri"/>
                <w:b/>
                <w:bCs/>
                <w:sz w:val="20"/>
                <w:szCs w:val="20"/>
                <w:lang w:val="en-AU"/>
              </w:rPr>
              <w:t xml:space="preserve">These findings will be key aspect for </w:t>
            </w:r>
            <w:r w:rsidR="008B7DEC">
              <w:rPr>
                <w:rFonts w:ascii="Calibri" w:hAnsi="Calibri" w:cs="Calibri"/>
                <w:b/>
                <w:bCs/>
                <w:sz w:val="20"/>
                <w:szCs w:val="20"/>
                <w:lang w:val="en-AU"/>
              </w:rPr>
              <w:t>c</w:t>
            </w:r>
            <w:r w:rsidR="008B7DEC" w:rsidRPr="008B7DEC">
              <w:rPr>
                <w:rFonts w:ascii="Calibri" w:hAnsi="Calibri" w:cs="Calibri"/>
                <w:b/>
                <w:bCs/>
                <w:sz w:val="20"/>
                <w:szCs w:val="20"/>
                <w:lang w:val="en-AU"/>
              </w:rPr>
              <w:t>onsultation with government departments.</w:t>
            </w:r>
          </w:p>
          <w:p w14:paraId="0FFF4D10" w14:textId="1D9DBEC0" w:rsidR="00C5455D" w:rsidRDefault="008B7DEC" w:rsidP="008B7142">
            <w:pPr>
              <w:spacing w:after="60" w:line="259" w:lineRule="auto"/>
              <w:rPr>
                <w:rFonts w:ascii="Calibri" w:hAnsi="Calibri" w:cs="Calibri"/>
                <w:sz w:val="20"/>
                <w:szCs w:val="20"/>
                <w:highlight w:val="yellow"/>
                <w:lang w:val="en-AU"/>
              </w:rPr>
            </w:pPr>
            <w:r>
              <w:rPr>
                <w:rFonts w:ascii="Calibri" w:hAnsi="Calibri" w:cs="Calibri"/>
                <w:sz w:val="20"/>
                <w:szCs w:val="20"/>
                <w:lang w:val="en-AU"/>
              </w:rPr>
              <w:t>When completing this exercise, i</w:t>
            </w:r>
            <w:r w:rsidR="00C5455D">
              <w:rPr>
                <w:rFonts w:ascii="Calibri" w:hAnsi="Calibri" w:cs="Calibri"/>
                <w:sz w:val="20"/>
                <w:szCs w:val="20"/>
                <w:lang w:val="en-AU"/>
              </w:rPr>
              <w:t xml:space="preserve">t is recommended to keep in mind scheme purpose and GEDSI considerations. </w:t>
            </w:r>
          </w:p>
          <w:p w14:paraId="360433C9" w14:textId="085D27EB" w:rsidR="008B7142" w:rsidRPr="00210B21" w:rsidRDefault="00C5455D" w:rsidP="008B7142">
            <w:pPr>
              <w:suppressAutoHyphens/>
              <w:spacing w:after="60" w:line="259" w:lineRule="auto"/>
              <w:rPr>
                <w:rFonts w:ascii="Calibri" w:eastAsia="Arial" w:hAnsi="Calibri" w:cs="Calibri"/>
                <w:b/>
                <w:bCs/>
                <w:sz w:val="20"/>
                <w:szCs w:val="20"/>
                <w:lang w:val="en-AU"/>
              </w:rPr>
            </w:pPr>
            <w:r>
              <w:rPr>
                <w:rFonts w:ascii="Calibri" w:hAnsi="Calibri" w:cs="Calibri"/>
                <w:sz w:val="20"/>
                <w:szCs w:val="20"/>
                <w:lang w:val="en-AU"/>
              </w:rPr>
              <w:t>Note: in Step 10.</w:t>
            </w:r>
            <w:r w:rsidR="009E5056">
              <w:rPr>
                <w:rFonts w:ascii="Calibri" w:hAnsi="Calibri" w:cs="Calibri"/>
                <w:sz w:val="20"/>
                <w:szCs w:val="20"/>
                <w:lang w:val="en-AU"/>
              </w:rPr>
              <w:t>1</w:t>
            </w:r>
            <w:r>
              <w:rPr>
                <w:rFonts w:ascii="Calibri" w:hAnsi="Calibri" w:cs="Calibri"/>
                <w:sz w:val="20"/>
                <w:szCs w:val="20"/>
                <w:lang w:val="en-AU"/>
              </w:rPr>
              <w:t xml:space="preserve"> </w:t>
            </w:r>
            <w:r w:rsidR="008B7142" w:rsidRPr="00210B21">
              <w:rPr>
                <w:rFonts w:ascii="Calibri" w:hAnsi="Calibri" w:cs="Calibri"/>
                <w:sz w:val="20"/>
                <w:szCs w:val="20"/>
                <w:lang w:val="en-AU"/>
              </w:rPr>
              <w:t xml:space="preserve">further commentary </w:t>
            </w:r>
            <w:r>
              <w:rPr>
                <w:rFonts w:ascii="Calibri" w:hAnsi="Calibri" w:cs="Calibri"/>
                <w:sz w:val="20"/>
                <w:szCs w:val="20"/>
                <w:lang w:val="en-AU"/>
              </w:rPr>
              <w:t xml:space="preserve">on the </w:t>
            </w:r>
            <w:r w:rsidRPr="00C5455D">
              <w:rPr>
                <w:rFonts w:ascii="Calibri" w:hAnsi="Calibri" w:cs="Calibri"/>
                <w:sz w:val="20"/>
                <w:szCs w:val="20"/>
                <w:lang w:val="en-AU"/>
              </w:rPr>
              <w:t xml:space="preserve">recommended principles </w:t>
            </w:r>
            <w:r w:rsidR="008B7DEC" w:rsidRPr="008B7DEC">
              <w:rPr>
                <w:rFonts w:ascii="Calibri" w:hAnsi="Calibri" w:cs="Calibri"/>
                <w:sz w:val="20"/>
                <w:szCs w:val="20"/>
                <w:lang w:val="en-AU"/>
              </w:rPr>
              <w:t xml:space="preserve">is provided </w:t>
            </w:r>
            <w:r w:rsidR="008B7DEC">
              <w:rPr>
                <w:rFonts w:ascii="Calibri" w:hAnsi="Calibri" w:cs="Calibri"/>
                <w:sz w:val="20"/>
                <w:szCs w:val="20"/>
                <w:lang w:val="en-AU"/>
              </w:rPr>
              <w:t xml:space="preserve">along with exact </w:t>
            </w:r>
            <w:r>
              <w:rPr>
                <w:rFonts w:ascii="Calibri" w:hAnsi="Calibri" w:cs="Calibri"/>
                <w:sz w:val="20"/>
                <w:szCs w:val="20"/>
                <w:lang w:val="en-AU"/>
              </w:rPr>
              <w:t xml:space="preserve">text from </w:t>
            </w:r>
            <w:r w:rsidR="008B7142" w:rsidRPr="00210B21">
              <w:rPr>
                <w:rFonts w:ascii="Calibri" w:hAnsi="Calibri" w:cs="Calibri"/>
                <w:sz w:val="20"/>
                <w:szCs w:val="20"/>
                <w:lang w:val="en-AU"/>
              </w:rPr>
              <w:t xml:space="preserve">existing schemes in Kiribati, Tuvalu, and Palau.  </w:t>
            </w:r>
          </w:p>
        </w:tc>
      </w:tr>
      <w:tr w:rsidR="008B7142" w:rsidRPr="00210B21" w14:paraId="4ED46B1A" w14:textId="77777777" w:rsidTr="009B453D">
        <w:tc>
          <w:tcPr>
            <w:tcW w:w="14596" w:type="dxa"/>
            <w:gridSpan w:val="6"/>
          </w:tcPr>
          <w:p w14:paraId="63B27BB8" w14:textId="571E3E68" w:rsidR="008B7142" w:rsidRDefault="008B7142" w:rsidP="008B714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 </w:t>
            </w:r>
          </w:p>
          <w:p w14:paraId="1E2787E5" w14:textId="62C3607E" w:rsidR="008B7142" w:rsidRPr="00210B21" w:rsidRDefault="008B7DEC" w:rsidP="008B7142">
            <w:pPr>
              <w:spacing w:after="60" w:line="259" w:lineRule="auto"/>
              <w:rPr>
                <w:rFonts w:ascii="Calibri" w:hAnsi="Calibri" w:cs="Calibri"/>
                <w:sz w:val="20"/>
                <w:szCs w:val="20"/>
                <w:highlight w:val="yellow"/>
                <w:lang w:val="en-AU"/>
              </w:rPr>
            </w:pPr>
            <w:r>
              <w:rPr>
                <w:rFonts w:ascii="Calibri" w:hAnsi="Calibri" w:cs="Calibri"/>
                <w:sz w:val="20"/>
                <w:szCs w:val="20"/>
                <w:lang w:val="en-AU"/>
              </w:rPr>
              <w:t>R</w:t>
            </w:r>
            <w:r w:rsidRPr="008B7DEC">
              <w:rPr>
                <w:rFonts w:ascii="Calibri" w:hAnsi="Calibri" w:cs="Calibri"/>
                <w:sz w:val="20"/>
                <w:szCs w:val="20"/>
                <w:lang w:val="en-AU"/>
              </w:rPr>
              <w:t xml:space="preserve">ecommended </w:t>
            </w:r>
            <w:r>
              <w:rPr>
                <w:rFonts w:ascii="Calibri" w:hAnsi="Calibri" w:cs="Calibri"/>
                <w:sz w:val="20"/>
                <w:szCs w:val="20"/>
                <w:lang w:val="en-AU"/>
              </w:rPr>
              <w:t>P</w:t>
            </w:r>
            <w:r w:rsidRPr="008B7DEC">
              <w:rPr>
                <w:rFonts w:ascii="Calibri" w:hAnsi="Calibri" w:cs="Calibri"/>
                <w:sz w:val="20"/>
                <w:szCs w:val="20"/>
                <w:lang w:val="en-AU"/>
              </w:rPr>
              <w:t xml:space="preserve">rinciples to be </w:t>
            </w:r>
            <w:r>
              <w:rPr>
                <w:rFonts w:ascii="Calibri" w:hAnsi="Calibri" w:cs="Calibri"/>
                <w:sz w:val="20"/>
                <w:szCs w:val="20"/>
                <w:lang w:val="en-AU"/>
              </w:rPr>
              <w:t>I</w:t>
            </w:r>
            <w:r w:rsidRPr="008B7DEC">
              <w:rPr>
                <w:rFonts w:ascii="Calibri" w:hAnsi="Calibri" w:cs="Calibri"/>
                <w:sz w:val="20"/>
                <w:szCs w:val="20"/>
                <w:lang w:val="en-AU"/>
              </w:rPr>
              <w:t xml:space="preserve">ncluded in ARFD </w:t>
            </w:r>
            <w:r>
              <w:rPr>
                <w:rFonts w:ascii="Calibri" w:hAnsi="Calibri" w:cs="Calibri"/>
                <w:sz w:val="20"/>
                <w:szCs w:val="20"/>
                <w:lang w:val="en-AU"/>
              </w:rPr>
              <w:t>L</w:t>
            </w:r>
            <w:r w:rsidRPr="008B7DEC">
              <w:rPr>
                <w:rFonts w:ascii="Calibri" w:hAnsi="Calibri" w:cs="Calibri"/>
                <w:sz w:val="20"/>
                <w:szCs w:val="20"/>
                <w:lang w:val="en-AU"/>
              </w:rPr>
              <w:t>egislati</w:t>
            </w:r>
            <w:r>
              <w:rPr>
                <w:rFonts w:ascii="Calibri" w:hAnsi="Calibri" w:cs="Calibri"/>
                <w:sz w:val="20"/>
                <w:szCs w:val="20"/>
                <w:lang w:val="en-AU"/>
              </w:rPr>
              <w:t xml:space="preserve">ve Instruments: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3"/>
              <w:gridCol w:w="2368"/>
              <w:gridCol w:w="1199"/>
              <w:gridCol w:w="2237"/>
              <w:gridCol w:w="2867"/>
              <w:gridCol w:w="3966"/>
            </w:tblGrid>
            <w:tr w:rsidR="008B7142" w:rsidRPr="00210B21" w14:paraId="062A0965" w14:textId="77777777" w:rsidTr="00D22A17">
              <w:trPr>
                <w:cantSplit/>
                <w:tblHeader/>
              </w:trPr>
              <w:tc>
                <w:tcPr>
                  <w:tcW w:w="1733" w:type="dxa"/>
                </w:tcPr>
                <w:p w14:paraId="660A5663" w14:textId="77777777" w:rsidR="008B7142" w:rsidRPr="00210B21" w:rsidRDefault="008B7142" w:rsidP="00D63B26">
                  <w:pPr>
                    <w:pStyle w:val="TableCH"/>
                    <w:spacing w:before="0" w:after="60" w:line="259" w:lineRule="auto"/>
                    <w:jc w:val="center"/>
                    <w:rPr>
                      <w:rFonts w:cs="Calibri"/>
                      <w:lang w:val="en-AU"/>
                    </w:rPr>
                  </w:pPr>
                  <w:bookmarkStart w:id="11" w:name="_Hlk83729479"/>
                  <w:r w:rsidRPr="00210B21">
                    <w:rPr>
                      <w:rFonts w:cs="Calibri"/>
                      <w:lang w:val="en-AU" w:eastAsia="en-NZ"/>
                    </w:rPr>
                    <w:t>Area</w:t>
                  </w:r>
                </w:p>
              </w:tc>
              <w:tc>
                <w:tcPr>
                  <w:tcW w:w="2368" w:type="dxa"/>
                </w:tcPr>
                <w:p w14:paraId="35A10E19" w14:textId="197A17F7" w:rsidR="008B7142" w:rsidRPr="00E55AA8" w:rsidRDefault="008B7142" w:rsidP="00D63B26">
                  <w:pPr>
                    <w:pStyle w:val="TableCH"/>
                    <w:spacing w:before="0" w:after="60" w:line="259" w:lineRule="auto"/>
                    <w:jc w:val="center"/>
                    <w:rPr>
                      <w:rFonts w:cs="Calibri"/>
                      <w:lang w:val="en-AU"/>
                    </w:rPr>
                  </w:pPr>
                  <w:r w:rsidRPr="00E55AA8">
                    <w:rPr>
                      <w:rFonts w:cs="Calibri"/>
                      <w:lang w:val="en-AU"/>
                    </w:rPr>
                    <w:t xml:space="preserve">Key </w:t>
                  </w:r>
                  <w:r w:rsidR="000730D1">
                    <w:rPr>
                      <w:rFonts w:cs="Calibri"/>
                      <w:lang w:val="en-AU"/>
                    </w:rPr>
                    <w:t>P</w:t>
                  </w:r>
                  <w:r w:rsidRPr="00E55AA8">
                    <w:rPr>
                      <w:rFonts w:cs="Calibri"/>
                      <w:lang w:val="en-AU"/>
                    </w:rPr>
                    <w:t>rinciples</w:t>
                  </w:r>
                </w:p>
              </w:tc>
              <w:tc>
                <w:tcPr>
                  <w:tcW w:w="1199" w:type="dxa"/>
                  <w:shd w:val="clear" w:color="auto" w:fill="F2F2F2" w:themeFill="background1" w:themeFillShade="F2"/>
                </w:tcPr>
                <w:p w14:paraId="72C66666" w14:textId="64C5AF7A" w:rsidR="008B7142" w:rsidRDefault="008B7142" w:rsidP="00D63B26">
                  <w:pPr>
                    <w:pStyle w:val="TableCH"/>
                    <w:spacing w:before="0" w:after="60" w:line="259" w:lineRule="auto"/>
                    <w:jc w:val="center"/>
                    <w:rPr>
                      <w:rFonts w:cs="Calibri"/>
                      <w:lang w:val="en-AU"/>
                    </w:rPr>
                  </w:pPr>
                  <w:r w:rsidRPr="00D22A17">
                    <w:rPr>
                      <w:rFonts w:cs="Calibri"/>
                      <w:lang w:val="en-AU"/>
                    </w:rPr>
                    <w:t>Principle</w:t>
                  </w:r>
                  <w:r>
                    <w:rPr>
                      <w:rFonts w:cs="Calibri"/>
                      <w:lang w:val="en-AU"/>
                    </w:rPr>
                    <w:t xml:space="preserve"> Included in Scheme Legislation?</w:t>
                  </w:r>
                </w:p>
                <w:p w14:paraId="3DD1A030" w14:textId="2DD8D73F" w:rsidR="008B7142" w:rsidRPr="00210B21" w:rsidRDefault="008B7142" w:rsidP="00D63B26">
                  <w:pPr>
                    <w:pStyle w:val="TableCH"/>
                    <w:spacing w:before="0" w:after="60" w:line="259" w:lineRule="auto"/>
                    <w:jc w:val="center"/>
                    <w:rPr>
                      <w:rFonts w:cs="Calibri"/>
                      <w:lang w:val="en-AU"/>
                    </w:rPr>
                  </w:pPr>
                  <w:r>
                    <w:rPr>
                      <w:rFonts w:cs="Calibri"/>
                      <w:lang w:val="en-AU"/>
                    </w:rPr>
                    <w:t>Y / N</w:t>
                  </w:r>
                </w:p>
              </w:tc>
              <w:tc>
                <w:tcPr>
                  <w:tcW w:w="2237" w:type="dxa"/>
                  <w:shd w:val="clear" w:color="auto" w:fill="F2F2F2" w:themeFill="background1" w:themeFillShade="F2"/>
                </w:tcPr>
                <w:p w14:paraId="2762B37E" w14:textId="2A5BB9F1" w:rsidR="008B7142" w:rsidRDefault="008B7142" w:rsidP="00D63B26">
                  <w:pPr>
                    <w:pStyle w:val="TableCH"/>
                    <w:spacing w:before="0" w:after="60" w:line="259" w:lineRule="auto"/>
                    <w:jc w:val="center"/>
                    <w:rPr>
                      <w:rFonts w:cs="Calibri"/>
                      <w:lang w:val="en-AU"/>
                    </w:rPr>
                  </w:pPr>
                  <w:r>
                    <w:rPr>
                      <w:rFonts w:cs="Calibri"/>
                      <w:lang w:val="en-AU"/>
                    </w:rPr>
                    <w:t>What NEW or PROPOSED Instrument to be Included in? What Reform Required?</w:t>
                  </w:r>
                </w:p>
                <w:p w14:paraId="4C89705F" w14:textId="6952937E" w:rsidR="008B7142" w:rsidRPr="00210B21" w:rsidRDefault="008B7142" w:rsidP="00D63B26">
                  <w:pPr>
                    <w:pStyle w:val="TableCH"/>
                    <w:spacing w:before="0" w:after="60" w:line="259" w:lineRule="auto"/>
                    <w:jc w:val="center"/>
                    <w:rPr>
                      <w:rFonts w:cs="Calibri"/>
                      <w:lang w:val="en-AU"/>
                    </w:rPr>
                  </w:pPr>
                  <w:r>
                    <w:rPr>
                      <w:rFonts w:cs="Calibri"/>
                      <w:lang w:val="en-AU"/>
                    </w:rPr>
                    <w:t>i.e. reform to Waste Management Act 2017</w:t>
                  </w:r>
                </w:p>
              </w:tc>
              <w:tc>
                <w:tcPr>
                  <w:tcW w:w="2867" w:type="dxa"/>
                  <w:shd w:val="clear" w:color="auto" w:fill="F2F2F2" w:themeFill="background1" w:themeFillShade="F2"/>
                </w:tcPr>
                <w:p w14:paraId="7582F5E7" w14:textId="26F4F9D3" w:rsidR="008B7142" w:rsidRPr="00210B21" w:rsidRDefault="008B7142" w:rsidP="00D63B26">
                  <w:pPr>
                    <w:pStyle w:val="TableCH"/>
                    <w:spacing w:before="0" w:after="60" w:line="259" w:lineRule="auto"/>
                    <w:jc w:val="center"/>
                    <w:rPr>
                      <w:rFonts w:cs="Calibri"/>
                      <w:lang w:val="en-AU"/>
                    </w:rPr>
                  </w:pPr>
                  <w:r>
                    <w:rPr>
                      <w:rFonts w:cs="Calibri"/>
                      <w:lang w:val="en-AU"/>
                    </w:rPr>
                    <w:t>Comments</w:t>
                  </w:r>
                  <w:r w:rsidR="008B7DEC">
                    <w:rPr>
                      <w:rFonts w:cs="Calibri"/>
                      <w:lang w:val="en-AU"/>
                    </w:rPr>
                    <w:t xml:space="preserve"> / </w:t>
                  </w:r>
                  <w:r w:rsidR="005E2295">
                    <w:rPr>
                      <w:rFonts w:cs="Calibri"/>
                      <w:lang w:val="en-AU"/>
                    </w:rPr>
                    <w:t>Draft</w:t>
                  </w:r>
                  <w:r w:rsidR="008B7DEC">
                    <w:rPr>
                      <w:rFonts w:cs="Calibri"/>
                      <w:lang w:val="en-AU"/>
                    </w:rPr>
                    <w:t xml:space="preserve"> Wording</w:t>
                  </w:r>
                  <w:r w:rsidR="000730D1">
                    <w:rPr>
                      <w:rFonts w:cs="Calibri"/>
                      <w:lang w:val="en-AU"/>
                    </w:rPr>
                    <w:t xml:space="preserve"> for P</w:t>
                  </w:r>
                  <w:r w:rsidR="000730D1" w:rsidRPr="000730D1">
                    <w:rPr>
                      <w:rFonts w:cs="Calibri"/>
                      <w:lang w:val="en-AU"/>
                    </w:rPr>
                    <w:t>rinciple</w:t>
                  </w:r>
                </w:p>
              </w:tc>
              <w:tc>
                <w:tcPr>
                  <w:tcW w:w="3966" w:type="dxa"/>
                </w:tcPr>
                <w:p w14:paraId="7EA6B1C4" w14:textId="20B25C13" w:rsidR="008B7142" w:rsidRPr="00210B21" w:rsidRDefault="008B7142" w:rsidP="00D63B26">
                  <w:pPr>
                    <w:pStyle w:val="TableCH"/>
                    <w:spacing w:before="0" w:after="60" w:line="259" w:lineRule="auto"/>
                    <w:jc w:val="center"/>
                    <w:rPr>
                      <w:rFonts w:cs="Calibri"/>
                      <w:lang w:val="en-AU"/>
                    </w:rPr>
                  </w:pPr>
                  <w:r w:rsidRPr="00210B21">
                    <w:rPr>
                      <w:rFonts w:cs="Calibri"/>
                      <w:lang w:val="en-AU"/>
                    </w:rPr>
                    <w:t>Guidance</w:t>
                  </w:r>
                </w:p>
              </w:tc>
            </w:tr>
            <w:tr w:rsidR="008B7142" w:rsidRPr="00210B21" w14:paraId="5E8728D0" w14:textId="77777777" w:rsidTr="00D22A17">
              <w:trPr>
                <w:cantSplit/>
              </w:trPr>
              <w:tc>
                <w:tcPr>
                  <w:tcW w:w="1733" w:type="dxa"/>
                </w:tcPr>
                <w:p w14:paraId="15B723F0" w14:textId="77777777" w:rsidR="008B7142" w:rsidRPr="00D22A17" w:rsidRDefault="008B7142" w:rsidP="008B7142">
                  <w:pPr>
                    <w:pStyle w:val="TableNum"/>
                    <w:spacing w:before="0" w:after="60" w:line="259" w:lineRule="auto"/>
                    <w:ind w:left="284"/>
                    <w:rPr>
                      <w:rFonts w:ascii="Calibri" w:hAnsi="Calibri" w:cs="Calibri"/>
                      <w:i/>
                      <w:iCs/>
                      <w:color w:val="44546A" w:themeColor="text2"/>
                      <w:sz w:val="18"/>
                      <w:szCs w:val="18"/>
                      <w:lang w:val="en-AU"/>
                    </w:rPr>
                  </w:pPr>
                  <w:r w:rsidRPr="00D22A17">
                    <w:rPr>
                      <w:rFonts w:ascii="Calibri" w:hAnsi="Calibri" w:cs="Calibri"/>
                      <w:bCs/>
                      <w:i/>
                      <w:iCs/>
                      <w:color w:val="44546A" w:themeColor="text2"/>
                      <w:sz w:val="18"/>
                      <w:szCs w:val="18"/>
                      <w:lang w:val="en-AU" w:eastAsia="en-NZ"/>
                    </w:rPr>
                    <w:t>Purpose/Objective</w:t>
                  </w:r>
                </w:p>
              </w:tc>
              <w:tc>
                <w:tcPr>
                  <w:tcW w:w="2368" w:type="dxa"/>
                </w:tcPr>
                <w:p w14:paraId="2DEA632A" w14:textId="7926CA01" w:rsidR="008B7142" w:rsidRPr="00D22A17" w:rsidRDefault="008B7142" w:rsidP="008B7142">
                  <w:pPr>
                    <w:pStyle w:val="TableNum"/>
                    <w:numPr>
                      <w:ilvl w:val="0"/>
                      <w:numId w:val="32"/>
                    </w:numPr>
                    <w:spacing w:before="0" w:after="60" w:line="259" w:lineRule="auto"/>
                    <w:rPr>
                      <w:rFonts w:ascii="Calibri" w:hAnsi="Calibri" w:cs="Calibri"/>
                      <w:i/>
                      <w:iCs/>
                      <w:color w:val="44546A" w:themeColor="text2"/>
                      <w:sz w:val="18"/>
                      <w:szCs w:val="18"/>
                      <w:lang w:val="en-AU"/>
                    </w:rPr>
                  </w:pPr>
                  <w:r w:rsidRPr="00D22A17">
                    <w:rPr>
                      <w:rFonts w:ascii="Calibri" w:hAnsi="Calibri" w:cs="Calibri"/>
                      <w:i/>
                      <w:iCs/>
                      <w:color w:val="44546A" w:themeColor="text2"/>
                      <w:sz w:val="18"/>
                      <w:szCs w:val="18"/>
                      <w:lang w:val="en-AU"/>
                    </w:rPr>
                    <w:t>Outline a clear purpose/objective</w:t>
                  </w:r>
                </w:p>
              </w:tc>
              <w:tc>
                <w:tcPr>
                  <w:tcW w:w="1199" w:type="dxa"/>
                  <w:shd w:val="clear" w:color="auto" w:fill="F2F2F2" w:themeFill="background1" w:themeFillShade="F2"/>
                </w:tcPr>
                <w:p w14:paraId="15BE2B3B" w14:textId="7DEC7BFB" w:rsidR="008B7142" w:rsidRPr="00D22A17" w:rsidRDefault="008B7142" w:rsidP="008B7142">
                  <w:pPr>
                    <w:pStyle w:val="TableTT"/>
                    <w:spacing w:before="0" w:after="60" w:line="259" w:lineRule="auto"/>
                    <w:jc w:val="center"/>
                    <w:rPr>
                      <w:rFonts w:cs="Calibri"/>
                      <w:i/>
                      <w:iCs/>
                      <w:color w:val="44546A" w:themeColor="text2"/>
                      <w:sz w:val="18"/>
                      <w:szCs w:val="18"/>
                      <w:lang w:val="en-AU"/>
                    </w:rPr>
                  </w:pPr>
                  <w:r w:rsidRPr="00D22A17">
                    <w:rPr>
                      <w:rFonts w:cs="Calibri"/>
                      <w:i/>
                      <w:iCs/>
                      <w:color w:val="44546A" w:themeColor="text2"/>
                      <w:sz w:val="18"/>
                      <w:szCs w:val="18"/>
                      <w:lang w:val="en-AU"/>
                    </w:rPr>
                    <w:t>Y</w:t>
                  </w:r>
                </w:p>
              </w:tc>
              <w:tc>
                <w:tcPr>
                  <w:tcW w:w="2237" w:type="dxa"/>
                  <w:shd w:val="clear" w:color="auto" w:fill="F2F2F2" w:themeFill="background1" w:themeFillShade="F2"/>
                </w:tcPr>
                <w:p w14:paraId="1B54E7C3" w14:textId="77777777" w:rsidR="008B7142" w:rsidRDefault="008B7142" w:rsidP="008B7142">
                  <w:pPr>
                    <w:pStyle w:val="TableTT"/>
                    <w:spacing w:before="0" w:after="60" w:line="259" w:lineRule="auto"/>
                    <w:rPr>
                      <w:rFonts w:cs="Calibri"/>
                      <w:i/>
                      <w:iCs/>
                      <w:color w:val="44546A" w:themeColor="text2"/>
                      <w:sz w:val="18"/>
                      <w:szCs w:val="18"/>
                      <w:lang w:val="en-AU"/>
                    </w:rPr>
                  </w:pPr>
                  <w:r w:rsidRPr="00D22A17">
                    <w:rPr>
                      <w:rFonts w:cs="Calibri"/>
                      <w:i/>
                      <w:iCs/>
                      <w:color w:val="44546A" w:themeColor="text2"/>
                      <w:sz w:val="18"/>
                      <w:szCs w:val="18"/>
                      <w:lang w:val="en-AU"/>
                    </w:rPr>
                    <w:t>i.e. reform to Waste Management Act 2017</w:t>
                  </w:r>
                  <w:r>
                    <w:rPr>
                      <w:rFonts w:cs="Calibri"/>
                      <w:i/>
                      <w:iCs/>
                      <w:color w:val="44546A" w:themeColor="text2"/>
                      <w:sz w:val="18"/>
                      <w:szCs w:val="18"/>
                      <w:lang w:val="en-AU"/>
                    </w:rPr>
                    <w:t xml:space="preserve"> to state </w:t>
                  </w:r>
                  <w:r w:rsidRPr="00D22A17">
                    <w:rPr>
                      <w:rFonts w:cs="Calibri"/>
                      <w:i/>
                      <w:iCs/>
                      <w:color w:val="44546A" w:themeColor="text2"/>
                      <w:sz w:val="18"/>
                      <w:szCs w:val="18"/>
                      <w:lang w:val="en-AU"/>
                    </w:rPr>
                    <w:t>purpose/objective</w:t>
                  </w:r>
                  <w:r>
                    <w:rPr>
                      <w:rFonts w:cs="Calibri"/>
                      <w:i/>
                      <w:iCs/>
                      <w:color w:val="44546A" w:themeColor="text2"/>
                      <w:sz w:val="18"/>
                      <w:szCs w:val="18"/>
                      <w:lang w:val="en-AU"/>
                    </w:rPr>
                    <w:t xml:space="preserve"> of ARFD</w:t>
                  </w:r>
                </w:p>
                <w:p w14:paraId="31397CF5" w14:textId="77777777" w:rsidR="008B7DEC" w:rsidRDefault="008B7DEC" w:rsidP="008B7142">
                  <w:pPr>
                    <w:pStyle w:val="TableTT"/>
                    <w:spacing w:before="0" w:after="60" w:line="259" w:lineRule="auto"/>
                    <w:rPr>
                      <w:rFonts w:cs="Calibri"/>
                      <w:i/>
                      <w:iCs/>
                      <w:color w:val="44546A" w:themeColor="text2"/>
                      <w:sz w:val="18"/>
                      <w:szCs w:val="18"/>
                      <w:lang w:val="en-AU"/>
                    </w:rPr>
                  </w:pPr>
                </w:p>
                <w:p w14:paraId="1B384091" w14:textId="434D3F5B" w:rsidR="008B7DEC" w:rsidRPr="00D22A17" w:rsidRDefault="008B7DEC" w:rsidP="008B7142">
                  <w:pPr>
                    <w:pStyle w:val="TableTT"/>
                    <w:spacing w:before="0" w:after="60" w:line="259" w:lineRule="auto"/>
                    <w:rPr>
                      <w:rFonts w:cs="Calibri"/>
                      <w:i/>
                      <w:iCs/>
                      <w:color w:val="44546A" w:themeColor="text2"/>
                      <w:sz w:val="18"/>
                      <w:szCs w:val="18"/>
                      <w:lang w:val="en-AU"/>
                    </w:rPr>
                  </w:pPr>
                  <w:r>
                    <w:rPr>
                      <w:rFonts w:cs="Calibri"/>
                      <w:i/>
                      <w:iCs/>
                      <w:color w:val="44546A" w:themeColor="text2"/>
                      <w:sz w:val="18"/>
                      <w:szCs w:val="18"/>
                      <w:lang w:val="en-AU"/>
                    </w:rPr>
                    <w:t>No reforms required</w:t>
                  </w:r>
                </w:p>
              </w:tc>
              <w:tc>
                <w:tcPr>
                  <w:tcW w:w="2867" w:type="dxa"/>
                  <w:shd w:val="clear" w:color="auto" w:fill="F2F2F2" w:themeFill="background1" w:themeFillShade="F2"/>
                </w:tcPr>
                <w:p w14:paraId="1E4293B8" w14:textId="0A16304F" w:rsidR="008B7142" w:rsidRDefault="008B7142" w:rsidP="008B7142">
                  <w:pPr>
                    <w:pStyle w:val="TableTT"/>
                    <w:spacing w:before="0" w:after="60" w:line="259" w:lineRule="auto"/>
                    <w:rPr>
                      <w:rFonts w:cs="Calibri"/>
                      <w:i/>
                      <w:iCs/>
                      <w:color w:val="44546A" w:themeColor="text2"/>
                      <w:sz w:val="18"/>
                      <w:szCs w:val="18"/>
                      <w:lang w:val="en-AU"/>
                    </w:rPr>
                  </w:pPr>
                  <w:r>
                    <w:rPr>
                      <w:rFonts w:cs="Calibri"/>
                      <w:i/>
                      <w:iCs/>
                      <w:color w:val="44546A" w:themeColor="text2"/>
                      <w:sz w:val="18"/>
                      <w:szCs w:val="18"/>
                      <w:lang w:val="en-AU"/>
                    </w:rPr>
                    <w:t>Proposed purpose:</w:t>
                  </w:r>
                </w:p>
                <w:p w14:paraId="495487B7" w14:textId="38FEA612" w:rsidR="008B7142" w:rsidRPr="00D22A17" w:rsidRDefault="008B7142" w:rsidP="008B7142">
                  <w:pPr>
                    <w:pStyle w:val="TableTT"/>
                    <w:spacing w:before="0" w:after="60" w:line="259" w:lineRule="auto"/>
                    <w:rPr>
                      <w:rFonts w:cs="Calibri"/>
                      <w:i/>
                      <w:iCs/>
                      <w:color w:val="44546A" w:themeColor="text2"/>
                      <w:sz w:val="18"/>
                      <w:szCs w:val="18"/>
                      <w:lang w:val="en-AU"/>
                    </w:rPr>
                  </w:pPr>
                  <w:r>
                    <w:rPr>
                      <w:rFonts w:cs="Calibri"/>
                      <w:i/>
                      <w:iCs/>
                      <w:color w:val="44546A" w:themeColor="text2"/>
                      <w:sz w:val="18"/>
                      <w:szCs w:val="18"/>
                      <w:lang w:val="en-AU"/>
                    </w:rPr>
                    <w:t>E</w:t>
                  </w:r>
                  <w:r w:rsidRPr="00D22A17">
                    <w:rPr>
                      <w:rFonts w:cs="Calibri"/>
                      <w:i/>
                      <w:iCs/>
                      <w:color w:val="44546A" w:themeColor="text2"/>
                      <w:sz w:val="18"/>
                      <w:szCs w:val="18"/>
                      <w:lang w:val="en-AU"/>
                    </w:rPr>
                    <w:t xml:space="preserve">stablish ARFD to sustainably finance recycling </w:t>
                  </w:r>
                  <w:r>
                    <w:rPr>
                      <w:rFonts w:cs="Calibri"/>
                      <w:i/>
                      <w:iCs/>
                      <w:color w:val="44546A" w:themeColor="text2"/>
                      <w:sz w:val="18"/>
                      <w:szCs w:val="18"/>
                      <w:lang w:val="en-AU"/>
                    </w:rPr>
                    <w:t xml:space="preserve">and provide for equality in recycling services across the country, </w:t>
                  </w:r>
                  <w:r w:rsidRPr="00D22A17">
                    <w:rPr>
                      <w:rFonts w:cs="Calibri"/>
                      <w:i/>
                      <w:iCs/>
                      <w:color w:val="44546A" w:themeColor="text2"/>
                      <w:sz w:val="18"/>
                      <w:szCs w:val="18"/>
                      <w:lang w:val="en-AU"/>
                    </w:rPr>
                    <w:t xml:space="preserve">in order to reduce harm to the </w:t>
                  </w:r>
                  <w:r>
                    <w:rPr>
                      <w:rFonts w:cs="Calibri"/>
                      <w:i/>
                      <w:iCs/>
                      <w:color w:val="44546A" w:themeColor="text2"/>
                      <w:sz w:val="18"/>
                      <w:szCs w:val="18"/>
                      <w:lang w:val="en-AU"/>
                    </w:rPr>
                    <w:t xml:space="preserve">environment and </w:t>
                  </w:r>
                  <w:r w:rsidRPr="00D22A17">
                    <w:rPr>
                      <w:rFonts w:cs="Calibri"/>
                      <w:i/>
                      <w:iCs/>
                      <w:color w:val="44546A" w:themeColor="text2"/>
                      <w:sz w:val="18"/>
                      <w:szCs w:val="18"/>
                      <w:lang w:val="en-AU"/>
                    </w:rPr>
                    <w:t>human health</w:t>
                  </w:r>
                  <w:r>
                    <w:rPr>
                      <w:rFonts w:cs="Calibri"/>
                      <w:i/>
                      <w:iCs/>
                      <w:color w:val="44546A" w:themeColor="text2"/>
                      <w:sz w:val="18"/>
                      <w:szCs w:val="18"/>
                      <w:lang w:val="en-AU"/>
                    </w:rPr>
                    <w:t>,</w:t>
                  </w:r>
                  <w:r w:rsidRPr="00D22A17">
                    <w:rPr>
                      <w:rFonts w:cs="Calibri"/>
                      <w:i/>
                      <w:iCs/>
                      <w:color w:val="44546A" w:themeColor="text2"/>
                      <w:sz w:val="18"/>
                      <w:szCs w:val="18"/>
                      <w:lang w:val="en-AU"/>
                    </w:rPr>
                    <w:t xml:space="preserve"> and move to a more circular economy</w:t>
                  </w:r>
                  <w:r>
                    <w:rPr>
                      <w:rFonts w:cs="Calibri"/>
                      <w:i/>
                      <w:iCs/>
                      <w:color w:val="44546A" w:themeColor="text2"/>
                      <w:sz w:val="18"/>
                      <w:szCs w:val="18"/>
                      <w:lang w:val="en-AU"/>
                    </w:rPr>
                    <w:t>.</w:t>
                  </w:r>
                </w:p>
              </w:tc>
              <w:tc>
                <w:tcPr>
                  <w:tcW w:w="3966" w:type="dxa"/>
                </w:tcPr>
                <w:p w14:paraId="13EB05D9" w14:textId="3C20972E" w:rsidR="008B7142" w:rsidRPr="00D63B26" w:rsidRDefault="008B7142" w:rsidP="008B7142">
                  <w:pPr>
                    <w:pStyle w:val="TableTT"/>
                    <w:spacing w:before="0" w:after="60" w:line="259" w:lineRule="auto"/>
                    <w:rPr>
                      <w:rFonts w:cs="Calibri"/>
                      <w:lang w:val="en-AU"/>
                    </w:rPr>
                  </w:pPr>
                  <w:r w:rsidRPr="00D63B26">
                    <w:rPr>
                      <w:rFonts w:cs="Calibri"/>
                      <w:lang w:val="en-AU"/>
                    </w:rPr>
                    <w:t>The provisions and regulations give effect to the purpose or objectives of the legislation.</w:t>
                  </w:r>
                </w:p>
                <w:p w14:paraId="3A4C032A" w14:textId="77777777" w:rsidR="008B7142" w:rsidRPr="00D63B26" w:rsidRDefault="008B7142" w:rsidP="008B7142">
                  <w:pPr>
                    <w:pStyle w:val="TableTT"/>
                    <w:spacing w:before="0" w:after="60" w:line="259" w:lineRule="auto"/>
                    <w:rPr>
                      <w:rFonts w:cs="Calibri"/>
                      <w:lang w:val="en-AU"/>
                    </w:rPr>
                  </w:pPr>
                  <w:r w:rsidRPr="00D63B26">
                    <w:rPr>
                      <w:rFonts w:cs="Calibri"/>
                      <w:lang w:val="en-AU"/>
                    </w:rPr>
                    <w:t xml:space="preserve">Providing for GEDSI in purpose/objectives provides an over-arching recognition for GEDSI. </w:t>
                  </w:r>
                </w:p>
                <w:p w14:paraId="112237FB" w14:textId="49C400FD" w:rsidR="008B7142" w:rsidRPr="00D63B26" w:rsidRDefault="008B7142" w:rsidP="008B7142">
                  <w:pPr>
                    <w:pStyle w:val="TableTT"/>
                    <w:spacing w:before="0" w:after="60" w:line="259" w:lineRule="auto"/>
                    <w:rPr>
                      <w:rFonts w:cs="Calibri"/>
                      <w:lang w:val="en-AU"/>
                    </w:rPr>
                  </w:pPr>
                  <w:r w:rsidRPr="00D63B26">
                    <w:rPr>
                      <w:rFonts w:cs="Calibri"/>
                      <w:lang w:val="en-AU"/>
                    </w:rPr>
                    <w:t xml:space="preserve">If placing the ARFD regulation under an Environmental Management Act, the purpose of the Act could be updated to include provision for GEDSI.  </w:t>
                  </w:r>
                </w:p>
              </w:tc>
            </w:tr>
            <w:tr w:rsidR="008B7142" w:rsidRPr="00210B21" w14:paraId="7863EFD5" w14:textId="77777777" w:rsidTr="00D22A17">
              <w:trPr>
                <w:cantSplit/>
              </w:trPr>
              <w:tc>
                <w:tcPr>
                  <w:tcW w:w="1733" w:type="dxa"/>
                </w:tcPr>
                <w:p w14:paraId="6BB98155" w14:textId="5BB8CAB6" w:rsidR="008B7142" w:rsidRPr="00210B21" w:rsidRDefault="008B7142" w:rsidP="008B7142">
                  <w:pPr>
                    <w:pStyle w:val="TableNum"/>
                    <w:spacing w:before="0" w:after="60" w:line="259" w:lineRule="auto"/>
                    <w:ind w:left="284"/>
                    <w:rPr>
                      <w:rFonts w:ascii="Calibri" w:hAnsi="Calibri" w:cs="Calibri"/>
                      <w:bCs/>
                      <w:color w:val="000000"/>
                      <w:szCs w:val="20"/>
                      <w:lang w:val="en-AU" w:eastAsia="en-NZ"/>
                    </w:rPr>
                  </w:pPr>
                  <w:r w:rsidRPr="00210B21">
                    <w:rPr>
                      <w:rFonts w:ascii="Calibri" w:hAnsi="Calibri" w:cs="Calibri"/>
                      <w:bCs/>
                      <w:color w:val="000000"/>
                      <w:szCs w:val="20"/>
                      <w:lang w:val="en-AU" w:eastAsia="en-NZ"/>
                    </w:rPr>
                    <w:lastRenderedPageBreak/>
                    <w:t>Purpose/Objective</w:t>
                  </w:r>
                </w:p>
              </w:tc>
              <w:tc>
                <w:tcPr>
                  <w:tcW w:w="2368" w:type="dxa"/>
                </w:tcPr>
                <w:p w14:paraId="46A38A0C" w14:textId="60208724"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Outline a clear purpose/objective</w:t>
                  </w:r>
                </w:p>
              </w:tc>
              <w:tc>
                <w:tcPr>
                  <w:tcW w:w="1199" w:type="dxa"/>
                  <w:shd w:val="clear" w:color="auto" w:fill="F2F2F2" w:themeFill="background1" w:themeFillShade="F2"/>
                </w:tcPr>
                <w:p w14:paraId="0AF3C50E"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4DB63A2" w14:textId="5AED56CE"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2F8A0483" w14:textId="77777777" w:rsidR="008B7142" w:rsidRPr="00210B21" w:rsidRDefault="008B7142" w:rsidP="008B7142">
                  <w:pPr>
                    <w:pStyle w:val="TableTT"/>
                    <w:spacing w:before="0" w:after="60" w:line="259" w:lineRule="auto"/>
                    <w:rPr>
                      <w:rFonts w:cs="Calibri"/>
                      <w:lang w:val="en-AU"/>
                    </w:rPr>
                  </w:pPr>
                </w:p>
              </w:tc>
              <w:tc>
                <w:tcPr>
                  <w:tcW w:w="3966" w:type="dxa"/>
                </w:tcPr>
                <w:p w14:paraId="61F09C7C" w14:textId="77777777" w:rsidR="008B7142" w:rsidRPr="00210B21" w:rsidRDefault="008B7142" w:rsidP="008B7142">
                  <w:pPr>
                    <w:pStyle w:val="TableTT"/>
                    <w:spacing w:before="0" w:after="60" w:line="259" w:lineRule="auto"/>
                    <w:rPr>
                      <w:rFonts w:cs="Calibri"/>
                      <w:lang w:val="en-AU"/>
                    </w:rPr>
                  </w:pPr>
                  <w:r w:rsidRPr="00210B21">
                    <w:rPr>
                      <w:rFonts w:cs="Calibri"/>
                      <w:lang w:val="en-AU"/>
                    </w:rPr>
                    <w:t>The provisions and regulations give effect to the purpose or objectives of the legislation.</w:t>
                  </w:r>
                </w:p>
                <w:p w14:paraId="66B023A7" w14:textId="77777777" w:rsidR="008B7142" w:rsidRPr="00210B21" w:rsidRDefault="008B7142" w:rsidP="008B7142">
                  <w:pPr>
                    <w:pStyle w:val="TableTT"/>
                    <w:spacing w:before="0" w:after="60" w:line="259" w:lineRule="auto"/>
                    <w:rPr>
                      <w:rFonts w:cs="Calibri"/>
                      <w:lang w:val="en-AU"/>
                    </w:rPr>
                  </w:pPr>
                  <w:r w:rsidRPr="00210B21">
                    <w:rPr>
                      <w:rFonts w:cs="Calibri"/>
                      <w:lang w:val="en-AU"/>
                    </w:rPr>
                    <w:t xml:space="preserve">Providing for GEDSI in purpose/objectives provides an over-arching recognition for GEDSI. </w:t>
                  </w:r>
                </w:p>
                <w:p w14:paraId="5CDBD414" w14:textId="0E549902" w:rsidR="008B7142" w:rsidRPr="00210B21" w:rsidRDefault="008B7142" w:rsidP="008B7142">
                  <w:pPr>
                    <w:pStyle w:val="TableTT"/>
                    <w:spacing w:before="0" w:after="60" w:line="259" w:lineRule="auto"/>
                    <w:rPr>
                      <w:rFonts w:cs="Calibri"/>
                      <w:lang w:val="en-AU"/>
                    </w:rPr>
                  </w:pPr>
                  <w:r w:rsidRPr="00210B21">
                    <w:rPr>
                      <w:rFonts w:cs="Calibri"/>
                      <w:lang w:val="en-AU"/>
                    </w:rPr>
                    <w:t xml:space="preserve">If placing the ARFD regulation under </w:t>
                  </w:r>
                  <w:r>
                    <w:rPr>
                      <w:rFonts w:cs="Calibri"/>
                      <w:lang w:val="en-AU"/>
                    </w:rPr>
                    <w:t>an</w:t>
                  </w:r>
                  <w:r w:rsidRPr="00210B21">
                    <w:rPr>
                      <w:rFonts w:cs="Calibri"/>
                      <w:lang w:val="en-AU"/>
                    </w:rPr>
                    <w:t xml:space="preserve"> Environmental Management Act, the purpose of the Act could be updated to include provision for GEDSI.  </w:t>
                  </w:r>
                </w:p>
              </w:tc>
            </w:tr>
            <w:tr w:rsidR="008B7142" w:rsidRPr="00210B21" w14:paraId="206DC3C4" w14:textId="77777777" w:rsidTr="00D22A17">
              <w:trPr>
                <w:cantSplit/>
              </w:trPr>
              <w:tc>
                <w:tcPr>
                  <w:tcW w:w="1733" w:type="dxa"/>
                  <w:vMerge w:val="restart"/>
                </w:tcPr>
                <w:p w14:paraId="0235944D"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bCs/>
                      <w:color w:val="000000"/>
                      <w:szCs w:val="20"/>
                      <w:lang w:val="en-AU" w:eastAsia="en-NZ"/>
                    </w:rPr>
                    <w:t>The Fund</w:t>
                  </w:r>
                </w:p>
              </w:tc>
              <w:tc>
                <w:tcPr>
                  <w:tcW w:w="2368" w:type="dxa"/>
                </w:tcPr>
                <w:p w14:paraId="5C86EE31"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Establish the dedicated fund and ringfence fees to waste management purposes only.</w:t>
                  </w:r>
                </w:p>
              </w:tc>
              <w:tc>
                <w:tcPr>
                  <w:tcW w:w="1199" w:type="dxa"/>
                  <w:shd w:val="clear" w:color="auto" w:fill="F2F2F2" w:themeFill="background1" w:themeFillShade="F2"/>
                </w:tcPr>
                <w:p w14:paraId="30F2684D"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38B4C6F4"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2A5AC39B" w14:textId="77777777" w:rsidR="008B7142" w:rsidRPr="00210B21" w:rsidRDefault="008B7142" w:rsidP="008B7142">
                  <w:pPr>
                    <w:pStyle w:val="TableTT"/>
                    <w:spacing w:before="0" w:after="60" w:line="259" w:lineRule="auto"/>
                    <w:rPr>
                      <w:rFonts w:cs="Calibri"/>
                      <w:lang w:val="en-AU"/>
                    </w:rPr>
                  </w:pPr>
                </w:p>
              </w:tc>
              <w:tc>
                <w:tcPr>
                  <w:tcW w:w="3966" w:type="dxa"/>
                </w:tcPr>
                <w:p w14:paraId="3F6CABB0" w14:textId="25E1DACF" w:rsidR="008B7142" w:rsidRPr="00210B21" w:rsidRDefault="008B7142" w:rsidP="008B7142">
                  <w:pPr>
                    <w:pStyle w:val="TableTT"/>
                    <w:spacing w:before="0" w:after="60" w:line="259" w:lineRule="auto"/>
                    <w:rPr>
                      <w:rFonts w:cs="Calibri"/>
                      <w:lang w:val="en-AU"/>
                    </w:rPr>
                  </w:pPr>
                  <w:r w:rsidRPr="00210B21">
                    <w:rPr>
                      <w:rFonts w:cs="Calibri"/>
                      <w:lang w:val="en-AU"/>
                    </w:rPr>
                    <w:t xml:space="preserve">Depending on the option, a dedicated fund </w:t>
                  </w:r>
                  <w:r w:rsidR="007E2D6C">
                    <w:rPr>
                      <w:rFonts w:cs="Calibri"/>
                      <w:lang w:val="en-AU"/>
                    </w:rPr>
                    <w:t xml:space="preserve">is recommended to </w:t>
                  </w:r>
                  <w:r w:rsidRPr="00210B21">
                    <w:rPr>
                      <w:rFonts w:cs="Calibri"/>
                      <w:lang w:val="en-AU"/>
                    </w:rPr>
                    <w:t>be established</w:t>
                  </w:r>
                </w:p>
              </w:tc>
            </w:tr>
            <w:tr w:rsidR="008B7142" w:rsidRPr="00210B21" w14:paraId="17EBC0D8" w14:textId="77777777" w:rsidTr="00D22A17">
              <w:trPr>
                <w:cantSplit/>
              </w:trPr>
              <w:tc>
                <w:tcPr>
                  <w:tcW w:w="1733" w:type="dxa"/>
                  <w:vMerge/>
                </w:tcPr>
                <w:p w14:paraId="2DFBFB10" w14:textId="77777777" w:rsidR="008B7142" w:rsidRPr="00210B21" w:rsidRDefault="008B7142" w:rsidP="008B7142">
                  <w:pPr>
                    <w:pStyle w:val="TableNum"/>
                    <w:spacing w:before="0" w:after="60" w:line="259" w:lineRule="auto"/>
                    <w:ind w:left="284"/>
                    <w:rPr>
                      <w:rFonts w:ascii="Calibri" w:hAnsi="Calibri" w:cs="Calibri"/>
                      <w:bCs/>
                      <w:color w:val="000000"/>
                      <w:szCs w:val="20"/>
                      <w:lang w:val="en-AU" w:eastAsia="en-NZ"/>
                    </w:rPr>
                  </w:pPr>
                </w:p>
              </w:tc>
              <w:tc>
                <w:tcPr>
                  <w:tcW w:w="2368" w:type="dxa"/>
                </w:tcPr>
                <w:p w14:paraId="36DB6BE1"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what purposes the fund may be used for</w:t>
                  </w:r>
                </w:p>
              </w:tc>
              <w:tc>
                <w:tcPr>
                  <w:tcW w:w="1199" w:type="dxa"/>
                  <w:shd w:val="clear" w:color="auto" w:fill="F2F2F2" w:themeFill="background1" w:themeFillShade="F2"/>
                </w:tcPr>
                <w:p w14:paraId="0D9F2A34"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0753DF37"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0EC52BFE" w14:textId="77777777" w:rsidR="008B7142" w:rsidRPr="00210B21" w:rsidRDefault="008B7142" w:rsidP="008B7142">
                  <w:pPr>
                    <w:pStyle w:val="TableTT"/>
                    <w:spacing w:before="0" w:after="60" w:line="259" w:lineRule="auto"/>
                    <w:rPr>
                      <w:rFonts w:cs="Calibri"/>
                      <w:lang w:val="en-AU"/>
                    </w:rPr>
                  </w:pPr>
                </w:p>
              </w:tc>
              <w:tc>
                <w:tcPr>
                  <w:tcW w:w="3966" w:type="dxa"/>
                </w:tcPr>
                <w:p w14:paraId="1AC67321" w14:textId="770ED318" w:rsidR="008B7142" w:rsidRPr="00210B21" w:rsidRDefault="008B7142" w:rsidP="008B7142">
                  <w:pPr>
                    <w:pStyle w:val="TableTT"/>
                    <w:spacing w:before="0" w:after="60" w:line="259" w:lineRule="auto"/>
                    <w:rPr>
                      <w:rFonts w:cs="Calibri"/>
                      <w:lang w:val="en-AU"/>
                    </w:rPr>
                  </w:pPr>
                  <w:r w:rsidRPr="00210B21">
                    <w:rPr>
                      <w:rFonts w:cs="Calibri"/>
                      <w:lang w:val="en-AU"/>
                    </w:rPr>
                    <w:t>Purposes outside of recovery and payment of Deposits may be funded.  Such as equipment purchases, Clean Up the World Day’s, training, updating Customs software and communications.</w:t>
                  </w:r>
                </w:p>
              </w:tc>
            </w:tr>
            <w:tr w:rsidR="008B7142" w:rsidRPr="00210B21" w14:paraId="34EFA1E2" w14:textId="77777777" w:rsidTr="00D22A17">
              <w:trPr>
                <w:cantSplit/>
              </w:trPr>
              <w:tc>
                <w:tcPr>
                  <w:tcW w:w="1733" w:type="dxa"/>
                  <w:vMerge/>
                </w:tcPr>
                <w:p w14:paraId="4A51CBF3"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3F0A0CEF"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who administers the fund.</w:t>
                  </w:r>
                </w:p>
              </w:tc>
              <w:tc>
                <w:tcPr>
                  <w:tcW w:w="1199" w:type="dxa"/>
                  <w:shd w:val="clear" w:color="auto" w:fill="F2F2F2" w:themeFill="background1" w:themeFillShade="F2"/>
                </w:tcPr>
                <w:p w14:paraId="099EC0C4" w14:textId="77777777" w:rsidR="008B7142" w:rsidRPr="00210B21" w:rsidRDefault="008B7142" w:rsidP="008B7142">
                  <w:pPr>
                    <w:pStyle w:val="TableNum"/>
                    <w:spacing w:before="0" w:after="60" w:line="259" w:lineRule="auto"/>
                    <w:ind w:left="0" w:firstLine="0"/>
                    <w:jc w:val="center"/>
                    <w:rPr>
                      <w:rFonts w:ascii="Calibri" w:hAnsi="Calibri" w:cs="Calibri"/>
                      <w:szCs w:val="20"/>
                      <w:lang w:val="en-AU"/>
                    </w:rPr>
                  </w:pPr>
                </w:p>
              </w:tc>
              <w:tc>
                <w:tcPr>
                  <w:tcW w:w="2237" w:type="dxa"/>
                  <w:shd w:val="clear" w:color="auto" w:fill="F2F2F2" w:themeFill="background1" w:themeFillShade="F2"/>
                </w:tcPr>
                <w:p w14:paraId="19287342"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2867" w:type="dxa"/>
                  <w:shd w:val="clear" w:color="auto" w:fill="F2F2F2" w:themeFill="background1" w:themeFillShade="F2"/>
                </w:tcPr>
                <w:p w14:paraId="46D1D220"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3966" w:type="dxa"/>
                </w:tcPr>
                <w:p w14:paraId="1068551C" w14:textId="68CD32B9" w:rsidR="008B7142" w:rsidRPr="00210B21" w:rsidRDefault="007E2D6C" w:rsidP="008B7142">
                  <w:pPr>
                    <w:pStyle w:val="TableTT"/>
                    <w:spacing w:before="0" w:after="60" w:line="259" w:lineRule="auto"/>
                    <w:rPr>
                      <w:rFonts w:cs="Calibri"/>
                      <w:lang w:val="en-AU"/>
                    </w:rPr>
                  </w:pPr>
                  <w:r w:rsidRPr="007E2D6C">
                    <w:rPr>
                      <w:rFonts w:cs="Calibri"/>
                      <w:lang w:val="en-AU"/>
                    </w:rPr>
                    <w:t xml:space="preserve">What agency identified as appropriate </w:t>
                  </w:r>
                  <w:r>
                    <w:rPr>
                      <w:rFonts w:cs="Calibri"/>
                      <w:lang w:val="en-AU"/>
                    </w:rPr>
                    <w:t xml:space="preserve">to undertake </w:t>
                  </w:r>
                  <w:r w:rsidRPr="007E2D6C">
                    <w:rPr>
                      <w:rFonts w:cs="Calibri"/>
                      <w:lang w:val="en-AU"/>
                    </w:rPr>
                    <w:t xml:space="preserve">scheme </w:t>
                  </w:r>
                  <w:r>
                    <w:rPr>
                      <w:rFonts w:cs="Calibri"/>
                      <w:lang w:val="en-AU"/>
                    </w:rPr>
                    <w:t xml:space="preserve">financial </w:t>
                  </w:r>
                  <w:r w:rsidRPr="007E2D6C">
                    <w:rPr>
                      <w:rFonts w:cs="Calibri"/>
                      <w:lang w:val="en-AU"/>
                    </w:rPr>
                    <w:t xml:space="preserve">management  </w:t>
                  </w:r>
                </w:p>
              </w:tc>
            </w:tr>
            <w:tr w:rsidR="008B7142" w:rsidRPr="00210B21" w14:paraId="19AB2EC3" w14:textId="77777777" w:rsidTr="00D22A17">
              <w:trPr>
                <w:cantSplit/>
              </w:trPr>
              <w:tc>
                <w:tcPr>
                  <w:tcW w:w="1733" w:type="dxa"/>
                  <w:vMerge/>
                </w:tcPr>
                <w:p w14:paraId="68222C79"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021101D7"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the role of Customs</w:t>
                  </w:r>
                </w:p>
              </w:tc>
              <w:tc>
                <w:tcPr>
                  <w:tcW w:w="1199" w:type="dxa"/>
                  <w:shd w:val="clear" w:color="auto" w:fill="F2F2F2" w:themeFill="background1" w:themeFillShade="F2"/>
                </w:tcPr>
                <w:p w14:paraId="3CA50AAC"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3A4358D6"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3FC1FA6C" w14:textId="77777777" w:rsidR="008B7142" w:rsidRPr="00210B21" w:rsidRDefault="008B7142" w:rsidP="008B7142">
                  <w:pPr>
                    <w:pStyle w:val="TableTT"/>
                    <w:spacing w:before="0" w:after="60" w:line="259" w:lineRule="auto"/>
                    <w:rPr>
                      <w:rFonts w:cs="Calibri"/>
                      <w:lang w:val="en-AU"/>
                    </w:rPr>
                  </w:pPr>
                </w:p>
              </w:tc>
              <w:tc>
                <w:tcPr>
                  <w:tcW w:w="3966" w:type="dxa"/>
                </w:tcPr>
                <w:p w14:paraId="61804D73" w14:textId="7A76EF29" w:rsidR="008B7142" w:rsidRPr="00210B21" w:rsidRDefault="008B7142" w:rsidP="008B7142">
                  <w:pPr>
                    <w:pStyle w:val="TableTT"/>
                    <w:spacing w:before="0" w:after="60" w:line="259" w:lineRule="auto"/>
                    <w:rPr>
                      <w:rFonts w:cs="Calibri"/>
                      <w:lang w:val="en-AU"/>
                    </w:rPr>
                  </w:pPr>
                  <w:r w:rsidRPr="00210B21">
                    <w:rPr>
                      <w:rFonts w:cs="Calibri"/>
                      <w:lang w:val="en-AU"/>
                    </w:rPr>
                    <w:t>Customs are usually the agency that applies the Fee to the imported items and charges the importer.  The revenue office may have a tole if the ARFD is charged at point of sale.</w:t>
                  </w:r>
                </w:p>
              </w:tc>
            </w:tr>
            <w:tr w:rsidR="008B7142" w:rsidRPr="00210B21" w14:paraId="56F14583" w14:textId="77777777" w:rsidTr="00D22A17">
              <w:trPr>
                <w:cantSplit/>
              </w:trPr>
              <w:tc>
                <w:tcPr>
                  <w:tcW w:w="1733" w:type="dxa"/>
                  <w:vMerge/>
                </w:tcPr>
                <w:p w14:paraId="572DBE1D" w14:textId="77777777" w:rsidR="008B7142" w:rsidRPr="00210B21" w:rsidRDefault="008B7142" w:rsidP="008B7142">
                  <w:pPr>
                    <w:pStyle w:val="TableNum"/>
                    <w:spacing w:before="0" w:after="60" w:line="259" w:lineRule="auto"/>
                    <w:ind w:left="33" w:firstLine="0"/>
                    <w:rPr>
                      <w:rFonts w:ascii="Calibri" w:hAnsi="Calibri" w:cs="Calibri"/>
                      <w:szCs w:val="20"/>
                      <w:lang w:val="en-AU"/>
                    </w:rPr>
                  </w:pPr>
                </w:p>
              </w:tc>
              <w:tc>
                <w:tcPr>
                  <w:tcW w:w="2368" w:type="dxa"/>
                </w:tcPr>
                <w:p w14:paraId="10E33F1F"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who shall pay into the fund and how this will be done</w:t>
                  </w:r>
                </w:p>
              </w:tc>
              <w:tc>
                <w:tcPr>
                  <w:tcW w:w="1199" w:type="dxa"/>
                  <w:shd w:val="clear" w:color="auto" w:fill="F2F2F2" w:themeFill="background1" w:themeFillShade="F2"/>
                </w:tcPr>
                <w:p w14:paraId="1F5401C7"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1DB9792"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0B7E5FDC" w14:textId="77777777" w:rsidR="008B7142" w:rsidRPr="00210B21" w:rsidRDefault="008B7142" w:rsidP="008B7142">
                  <w:pPr>
                    <w:pStyle w:val="TableTT"/>
                    <w:spacing w:before="0" w:after="60" w:line="259" w:lineRule="auto"/>
                    <w:rPr>
                      <w:rFonts w:cs="Calibri"/>
                      <w:lang w:val="en-AU"/>
                    </w:rPr>
                  </w:pPr>
                </w:p>
              </w:tc>
              <w:tc>
                <w:tcPr>
                  <w:tcW w:w="3966" w:type="dxa"/>
                </w:tcPr>
                <w:p w14:paraId="78F940E8" w14:textId="0FB0C4E6" w:rsidR="008B7142" w:rsidRPr="00210B21" w:rsidRDefault="008B7142" w:rsidP="008B7142">
                  <w:pPr>
                    <w:pStyle w:val="TableTT"/>
                    <w:spacing w:before="0" w:after="60" w:line="259" w:lineRule="auto"/>
                    <w:rPr>
                      <w:rFonts w:cs="Calibri"/>
                      <w:lang w:val="en-AU"/>
                    </w:rPr>
                  </w:pPr>
                  <w:r w:rsidRPr="00210B21">
                    <w:rPr>
                      <w:rFonts w:cs="Calibri"/>
                      <w:lang w:val="en-AU"/>
                    </w:rPr>
                    <w:t>This is usually importers and/or distributors and paid to Customs who directs the Fee into the appropriate fund.</w:t>
                  </w:r>
                </w:p>
              </w:tc>
            </w:tr>
            <w:tr w:rsidR="008B7142" w:rsidRPr="00210B21" w14:paraId="3BA7F18D" w14:textId="77777777" w:rsidTr="00D22A17">
              <w:trPr>
                <w:cantSplit/>
              </w:trPr>
              <w:tc>
                <w:tcPr>
                  <w:tcW w:w="1733" w:type="dxa"/>
                  <w:vMerge/>
                </w:tcPr>
                <w:p w14:paraId="01049580" w14:textId="77777777" w:rsidR="008B7142" w:rsidRPr="00210B21" w:rsidRDefault="008B7142" w:rsidP="008B7142">
                  <w:pPr>
                    <w:pStyle w:val="TableNum"/>
                    <w:spacing w:before="0" w:after="60" w:line="259" w:lineRule="auto"/>
                    <w:ind w:left="284" w:firstLine="0"/>
                    <w:rPr>
                      <w:rFonts w:ascii="Calibri" w:hAnsi="Calibri" w:cs="Calibri"/>
                      <w:szCs w:val="20"/>
                      <w:lang w:val="en-AU"/>
                    </w:rPr>
                  </w:pPr>
                </w:p>
              </w:tc>
              <w:tc>
                <w:tcPr>
                  <w:tcW w:w="2368" w:type="dxa"/>
                </w:tcPr>
                <w:p w14:paraId="27E7F9FC"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procedures for payment from the fund</w:t>
                  </w:r>
                </w:p>
              </w:tc>
              <w:tc>
                <w:tcPr>
                  <w:tcW w:w="1199" w:type="dxa"/>
                  <w:shd w:val="clear" w:color="auto" w:fill="F2F2F2" w:themeFill="background1" w:themeFillShade="F2"/>
                </w:tcPr>
                <w:p w14:paraId="25A4F5E5" w14:textId="77777777" w:rsidR="008B7142" w:rsidRPr="00210B21" w:rsidRDefault="008B7142" w:rsidP="008B7142">
                  <w:pPr>
                    <w:pStyle w:val="TableTT"/>
                    <w:spacing w:before="0" w:after="60" w:line="259" w:lineRule="auto"/>
                    <w:jc w:val="center"/>
                    <w:rPr>
                      <w:rFonts w:cs="Calibri"/>
                      <w:lang w:val="en-AU" w:eastAsia="en-NZ"/>
                    </w:rPr>
                  </w:pPr>
                </w:p>
              </w:tc>
              <w:tc>
                <w:tcPr>
                  <w:tcW w:w="2237" w:type="dxa"/>
                  <w:shd w:val="clear" w:color="auto" w:fill="F2F2F2" w:themeFill="background1" w:themeFillShade="F2"/>
                </w:tcPr>
                <w:p w14:paraId="1C973B8A" w14:textId="77777777" w:rsidR="008B7142" w:rsidRPr="00210B21" w:rsidRDefault="008B7142" w:rsidP="008B7142">
                  <w:pPr>
                    <w:pStyle w:val="TableTT"/>
                    <w:spacing w:before="0" w:after="60" w:line="259" w:lineRule="auto"/>
                    <w:rPr>
                      <w:rFonts w:cs="Calibri"/>
                      <w:lang w:val="en-AU" w:eastAsia="en-NZ"/>
                    </w:rPr>
                  </w:pPr>
                </w:p>
              </w:tc>
              <w:tc>
                <w:tcPr>
                  <w:tcW w:w="2867" w:type="dxa"/>
                  <w:shd w:val="clear" w:color="auto" w:fill="F2F2F2" w:themeFill="background1" w:themeFillShade="F2"/>
                </w:tcPr>
                <w:p w14:paraId="74349EF3" w14:textId="77777777" w:rsidR="008B7142" w:rsidRPr="00210B21" w:rsidRDefault="008B7142" w:rsidP="008B7142">
                  <w:pPr>
                    <w:pStyle w:val="TableTT"/>
                    <w:spacing w:before="0" w:after="60" w:line="259" w:lineRule="auto"/>
                    <w:rPr>
                      <w:rFonts w:cs="Calibri"/>
                      <w:lang w:val="en-AU" w:eastAsia="en-NZ"/>
                    </w:rPr>
                  </w:pPr>
                </w:p>
              </w:tc>
              <w:tc>
                <w:tcPr>
                  <w:tcW w:w="3966" w:type="dxa"/>
                </w:tcPr>
                <w:p w14:paraId="096E1204" w14:textId="0A302629" w:rsidR="008B7142" w:rsidRPr="00210B21" w:rsidRDefault="008B7142" w:rsidP="008B7142">
                  <w:pPr>
                    <w:pStyle w:val="TableTT"/>
                    <w:spacing w:before="0" w:after="60" w:line="259" w:lineRule="auto"/>
                    <w:rPr>
                      <w:rFonts w:cs="Calibri"/>
                      <w:lang w:val="en-AU" w:eastAsia="en-NZ"/>
                    </w:rPr>
                  </w:pPr>
                  <w:r w:rsidRPr="00210B21">
                    <w:rPr>
                      <w:rFonts w:cs="Calibri"/>
                      <w:lang w:val="en-AU" w:eastAsia="en-NZ"/>
                    </w:rPr>
                    <w:t>This may outline standard reporting forms and other supporting evidence such as recording sheets and receipts.</w:t>
                  </w:r>
                </w:p>
                <w:p w14:paraId="5EB5DDC9" w14:textId="77777777" w:rsidR="008B7142" w:rsidRPr="00210B21" w:rsidRDefault="008B7142" w:rsidP="008B7142">
                  <w:pPr>
                    <w:pStyle w:val="TableTT"/>
                    <w:spacing w:before="0" w:after="60" w:line="259" w:lineRule="auto"/>
                    <w:rPr>
                      <w:rFonts w:cs="Calibri"/>
                      <w:lang w:val="en-AU" w:eastAsia="en-NZ"/>
                    </w:rPr>
                  </w:pPr>
                  <w:r w:rsidRPr="00210B21">
                    <w:rPr>
                      <w:rFonts w:cs="Calibri"/>
                      <w:lang w:val="en-AU" w:eastAsia="en-NZ"/>
                    </w:rPr>
                    <w:t xml:space="preserve">These may also be standard forms under the regulation.  This may tie into reporting requirements. </w:t>
                  </w:r>
                </w:p>
              </w:tc>
            </w:tr>
            <w:tr w:rsidR="008B7142" w:rsidRPr="00210B21" w14:paraId="350AD3A4" w14:textId="77777777" w:rsidTr="00D22A17">
              <w:trPr>
                <w:cantSplit/>
              </w:trPr>
              <w:tc>
                <w:tcPr>
                  <w:tcW w:w="1733" w:type="dxa"/>
                  <w:vMerge/>
                </w:tcPr>
                <w:p w14:paraId="34EA843E" w14:textId="77777777" w:rsidR="008B7142" w:rsidRPr="00210B21" w:rsidRDefault="008B7142" w:rsidP="008B7142">
                  <w:pPr>
                    <w:pStyle w:val="TableNum"/>
                    <w:spacing w:before="0" w:after="60" w:line="259" w:lineRule="auto"/>
                    <w:ind w:left="284" w:firstLine="0"/>
                    <w:rPr>
                      <w:rFonts w:ascii="Calibri" w:hAnsi="Calibri" w:cs="Calibri"/>
                      <w:szCs w:val="20"/>
                      <w:lang w:val="en-AU"/>
                    </w:rPr>
                  </w:pPr>
                </w:p>
              </w:tc>
              <w:tc>
                <w:tcPr>
                  <w:tcW w:w="2368" w:type="dxa"/>
                </w:tcPr>
                <w:p w14:paraId="23E00615"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how Deposits are paid to consumers</w:t>
                  </w:r>
                </w:p>
              </w:tc>
              <w:tc>
                <w:tcPr>
                  <w:tcW w:w="1199" w:type="dxa"/>
                  <w:shd w:val="clear" w:color="auto" w:fill="F2F2F2" w:themeFill="background1" w:themeFillShade="F2"/>
                </w:tcPr>
                <w:p w14:paraId="1D2909E4"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0C9CF851"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48A55D5D" w14:textId="77777777" w:rsidR="008B7142" w:rsidRPr="00210B21" w:rsidRDefault="008B7142" w:rsidP="008B7142">
                  <w:pPr>
                    <w:pStyle w:val="TableTT"/>
                    <w:spacing w:before="0" w:after="60" w:line="259" w:lineRule="auto"/>
                    <w:rPr>
                      <w:rFonts w:cs="Calibri"/>
                      <w:lang w:val="en-AU"/>
                    </w:rPr>
                  </w:pPr>
                </w:p>
              </w:tc>
              <w:tc>
                <w:tcPr>
                  <w:tcW w:w="3966" w:type="dxa"/>
                </w:tcPr>
                <w:p w14:paraId="64561903" w14:textId="21C2C8FD" w:rsidR="008B7142" w:rsidRPr="00210B21" w:rsidRDefault="008B7142" w:rsidP="008B7142">
                  <w:pPr>
                    <w:pStyle w:val="TableTT"/>
                    <w:spacing w:before="0" w:after="60" w:line="259" w:lineRule="auto"/>
                    <w:rPr>
                      <w:rFonts w:cs="Calibri"/>
                      <w:lang w:val="en-AU"/>
                    </w:rPr>
                  </w:pPr>
                  <w:r w:rsidRPr="00210B21">
                    <w:rPr>
                      <w:rFonts w:cs="Calibri"/>
                      <w:lang w:val="en-AU"/>
                    </w:rPr>
                    <w:t>There are several methods that the Deposit could be paid out to consumers. They are in cash, cheque, credit vouchers for utilities, to charities.</w:t>
                  </w:r>
                </w:p>
                <w:p w14:paraId="560A6992" w14:textId="77777777" w:rsidR="008B7142" w:rsidRPr="00210B21" w:rsidRDefault="008B7142" w:rsidP="008B7142">
                  <w:pPr>
                    <w:pStyle w:val="TableTT"/>
                    <w:spacing w:before="0" w:after="60" w:line="259" w:lineRule="auto"/>
                    <w:rPr>
                      <w:rFonts w:cs="Calibri"/>
                      <w:lang w:val="en-AU" w:eastAsia="en-NZ"/>
                    </w:rPr>
                  </w:pPr>
                  <w:r w:rsidRPr="00210B21">
                    <w:rPr>
                      <w:rFonts w:cs="Calibri"/>
                      <w:lang w:val="en-AU"/>
                    </w:rPr>
                    <w:t>Regulation under the Act will need to specify delegated approvals to address the default requirement for the Secretary for Finance and Commerce to approve all payment from the Fund.</w:t>
                  </w:r>
                </w:p>
              </w:tc>
            </w:tr>
            <w:tr w:rsidR="008B7142" w:rsidRPr="00210B21" w14:paraId="70AA970B" w14:textId="77777777" w:rsidTr="00D22A17">
              <w:trPr>
                <w:cantSplit/>
              </w:trPr>
              <w:tc>
                <w:tcPr>
                  <w:tcW w:w="1733" w:type="dxa"/>
                  <w:vMerge w:val="restart"/>
                </w:tcPr>
                <w:p w14:paraId="7B660ECB" w14:textId="77777777"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bCs/>
                      <w:color w:val="000000"/>
                      <w:szCs w:val="20"/>
                      <w:lang w:val="en-AU" w:eastAsia="en-NZ"/>
                    </w:rPr>
                    <w:t>The items (products)</w:t>
                  </w:r>
                </w:p>
              </w:tc>
              <w:tc>
                <w:tcPr>
                  <w:tcW w:w="2368" w:type="dxa"/>
                </w:tcPr>
                <w:p w14:paraId="1552883F"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the items that will have a ARFD placed on them, ideally with the ability to introduce additional materials or items over time.</w:t>
                  </w:r>
                </w:p>
              </w:tc>
              <w:tc>
                <w:tcPr>
                  <w:tcW w:w="1199" w:type="dxa"/>
                  <w:shd w:val="clear" w:color="auto" w:fill="F2F2F2" w:themeFill="background1" w:themeFillShade="F2"/>
                </w:tcPr>
                <w:p w14:paraId="5C17C928"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75C2E06A"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6FB37B9D" w14:textId="77777777" w:rsidR="008B7142" w:rsidRPr="00210B21" w:rsidRDefault="008B7142" w:rsidP="008B7142">
                  <w:pPr>
                    <w:pStyle w:val="TableTT"/>
                    <w:spacing w:before="0" w:after="60" w:line="259" w:lineRule="auto"/>
                    <w:rPr>
                      <w:rFonts w:cs="Calibri"/>
                      <w:lang w:val="en-AU"/>
                    </w:rPr>
                  </w:pPr>
                </w:p>
              </w:tc>
              <w:tc>
                <w:tcPr>
                  <w:tcW w:w="3966" w:type="dxa"/>
                </w:tcPr>
                <w:p w14:paraId="1A418E2A" w14:textId="0AFB8F42" w:rsidR="008B7142" w:rsidRPr="00210B21" w:rsidRDefault="008B7142" w:rsidP="008B7142">
                  <w:pPr>
                    <w:pStyle w:val="TableTT"/>
                    <w:spacing w:before="0" w:after="60" w:line="259" w:lineRule="auto"/>
                    <w:rPr>
                      <w:rFonts w:cs="Calibri"/>
                      <w:lang w:val="en-AU"/>
                    </w:rPr>
                  </w:pPr>
                  <w:r w:rsidRPr="00210B21">
                    <w:rPr>
                      <w:rFonts w:cs="Calibri"/>
                      <w:lang w:val="en-AU"/>
                    </w:rPr>
                    <w:t>Items could be those that are littered often and difficult to deal with as per the Situation Review. Items may be set out by regulation, with potential to provide for the Secretary adding new materials.</w:t>
                  </w:r>
                </w:p>
              </w:tc>
            </w:tr>
            <w:tr w:rsidR="008B7142" w:rsidRPr="00210B21" w14:paraId="55979334" w14:textId="77777777" w:rsidTr="00D22A17">
              <w:trPr>
                <w:cantSplit/>
              </w:trPr>
              <w:tc>
                <w:tcPr>
                  <w:tcW w:w="1733" w:type="dxa"/>
                  <w:vMerge/>
                </w:tcPr>
                <w:p w14:paraId="5B716639" w14:textId="77777777" w:rsidR="008B7142" w:rsidRPr="00210B21" w:rsidRDefault="008B7142" w:rsidP="008B7142">
                  <w:pPr>
                    <w:pStyle w:val="TableNum"/>
                    <w:spacing w:before="0" w:after="60" w:line="259" w:lineRule="auto"/>
                    <w:ind w:left="284"/>
                    <w:rPr>
                      <w:rFonts w:ascii="Calibri" w:hAnsi="Calibri" w:cs="Calibri"/>
                      <w:bCs/>
                      <w:color w:val="000000"/>
                      <w:szCs w:val="20"/>
                      <w:lang w:val="en-AU" w:eastAsia="en-NZ"/>
                    </w:rPr>
                  </w:pPr>
                </w:p>
              </w:tc>
              <w:tc>
                <w:tcPr>
                  <w:tcW w:w="2368" w:type="dxa"/>
                </w:tcPr>
                <w:p w14:paraId="286B81D5"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the ARFD amount on each item</w:t>
                  </w:r>
                </w:p>
              </w:tc>
              <w:tc>
                <w:tcPr>
                  <w:tcW w:w="1199" w:type="dxa"/>
                  <w:shd w:val="clear" w:color="auto" w:fill="F2F2F2" w:themeFill="background1" w:themeFillShade="F2"/>
                </w:tcPr>
                <w:p w14:paraId="1379C726"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31D3A60A"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5D19FF99" w14:textId="77777777" w:rsidR="008B7142" w:rsidRPr="00210B21" w:rsidRDefault="008B7142" w:rsidP="008B7142">
                  <w:pPr>
                    <w:pStyle w:val="TableTT"/>
                    <w:spacing w:before="0" w:after="60" w:line="259" w:lineRule="auto"/>
                    <w:rPr>
                      <w:rFonts w:cs="Calibri"/>
                      <w:lang w:val="en-AU"/>
                    </w:rPr>
                  </w:pPr>
                </w:p>
              </w:tc>
              <w:tc>
                <w:tcPr>
                  <w:tcW w:w="3966" w:type="dxa"/>
                </w:tcPr>
                <w:p w14:paraId="3F609C26" w14:textId="539A2F6B" w:rsidR="008B7142" w:rsidRPr="00210B21" w:rsidRDefault="008B7142" w:rsidP="008B7142">
                  <w:pPr>
                    <w:pStyle w:val="TableTT"/>
                    <w:spacing w:before="0" w:after="60" w:line="259" w:lineRule="auto"/>
                    <w:rPr>
                      <w:rFonts w:cs="Calibri"/>
                      <w:lang w:val="en-AU"/>
                    </w:rPr>
                  </w:pPr>
                  <w:r w:rsidRPr="00210B21">
                    <w:rPr>
                      <w:rFonts w:cs="Calibri"/>
                      <w:lang w:val="en-AU"/>
                    </w:rPr>
                    <w:t>The ARFD should cover the costs associated with recovery (Administration and Handling Fees) and the Deposit paid to consumers.</w:t>
                  </w:r>
                </w:p>
              </w:tc>
            </w:tr>
            <w:tr w:rsidR="008B7142" w:rsidRPr="00210B21" w14:paraId="11065949" w14:textId="77777777" w:rsidTr="00D22A17">
              <w:trPr>
                <w:cantSplit/>
              </w:trPr>
              <w:tc>
                <w:tcPr>
                  <w:tcW w:w="1733" w:type="dxa"/>
                  <w:vMerge/>
                </w:tcPr>
                <w:p w14:paraId="32F70D3B" w14:textId="77777777" w:rsidR="008B7142" w:rsidRPr="00210B21" w:rsidRDefault="008B7142" w:rsidP="008B7142">
                  <w:pPr>
                    <w:pStyle w:val="TableNum"/>
                    <w:spacing w:before="0" w:after="60" w:line="259" w:lineRule="auto"/>
                    <w:ind w:left="284"/>
                    <w:rPr>
                      <w:rFonts w:ascii="Calibri" w:hAnsi="Calibri" w:cs="Calibri"/>
                      <w:bCs/>
                      <w:color w:val="000000"/>
                      <w:szCs w:val="20"/>
                      <w:lang w:val="en-AU" w:eastAsia="en-NZ"/>
                    </w:rPr>
                  </w:pPr>
                </w:p>
              </w:tc>
              <w:tc>
                <w:tcPr>
                  <w:tcW w:w="2368" w:type="dxa"/>
                </w:tcPr>
                <w:p w14:paraId="4AC35405"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the deposit amount on each item</w:t>
                  </w:r>
                </w:p>
              </w:tc>
              <w:tc>
                <w:tcPr>
                  <w:tcW w:w="1199" w:type="dxa"/>
                  <w:shd w:val="clear" w:color="auto" w:fill="F2F2F2" w:themeFill="background1" w:themeFillShade="F2"/>
                </w:tcPr>
                <w:p w14:paraId="5B239F99"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ADC436A"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56B67057" w14:textId="77777777" w:rsidR="008B7142" w:rsidRPr="00210B21" w:rsidRDefault="008B7142" w:rsidP="008B7142">
                  <w:pPr>
                    <w:pStyle w:val="TableTT"/>
                    <w:spacing w:before="0" w:after="60" w:line="259" w:lineRule="auto"/>
                    <w:rPr>
                      <w:rFonts w:cs="Calibri"/>
                      <w:lang w:val="en-AU"/>
                    </w:rPr>
                  </w:pPr>
                </w:p>
              </w:tc>
              <w:tc>
                <w:tcPr>
                  <w:tcW w:w="3966" w:type="dxa"/>
                </w:tcPr>
                <w:p w14:paraId="427B1783" w14:textId="496F87B8" w:rsidR="008B7142" w:rsidRPr="00210B21" w:rsidRDefault="008B7142" w:rsidP="008B7142">
                  <w:pPr>
                    <w:pStyle w:val="TableTT"/>
                    <w:spacing w:before="0" w:after="60" w:line="259" w:lineRule="auto"/>
                    <w:rPr>
                      <w:rFonts w:cs="Calibri"/>
                      <w:lang w:val="en-AU"/>
                    </w:rPr>
                  </w:pPr>
                  <w:r w:rsidRPr="00210B21">
                    <w:rPr>
                      <w:rFonts w:cs="Calibri"/>
                      <w:lang w:val="en-AU"/>
                    </w:rPr>
                    <w:t>The Deposit amount paid to consumers should be at a rate that incentivises returns balanced with keeping the total cost of the target item affordable.</w:t>
                  </w:r>
                </w:p>
              </w:tc>
            </w:tr>
            <w:tr w:rsidR="008B7142" w:rsidRPr="00210B21" w14:paraId="14274C82" w14:textId="77777777" w:rsidTr="00D22A17">
              <w:trPr>
                <w:cantSplit/>
              </w:trPr>
              <w:tc>
                <w:tcPr>
                  <w:tcW w:w="1733" w:type="dxa"/>
                  <w:vMerge w:val="restart"/>
                </w:tcPr>
                <w:p w14:paraId="3B9C0D14" w14:textId="77777777" w:rsidR="008B7142" w:rsidRPr="00210B21" w:rsidRDefault="008B7142" w:rsidP="008B7142">
                  <w:pPr>
                    <w:pStyle w:val="TableNum"/>
                    <w:spacing w:before="0" w:after="60" w:line="259" w:lineRule="auto"/>
                    <w:ind w:left="31" w:firstLine="0"/>
                    <w:rPr>
                      <w:rFonts w:ascii="Calibri" w:hAnsi="Calibri" w:cs="Calibri"/>
                      <w:bCs/>
                      <w:color w:val="000000"/>
                      <w:szCs w:val="20"/>
                      <w:lang w:val="en-AU" w:eastAsia="en-NZ"/>
                    </w:rPr>
                  </w:pPr>
                  <w:r w:rsidRPr="00210B21">
                    <w:rPr>
                      <w:rFonts w:ascii="Calibri" w:hAnsi="Calibri" w:cs="Calibri"/>
                      <w:bCs/>
                      <w:color w:val="000000"/>
                      <w:szCs w:val="20"/>
                      <w:lang w:val="en-AU" w:eastAsia="en-NZ"/>
                    </w:rPr>
                    <w:t>The scheme and physical operations</w:t>
                  </w:r>
                </w:p>
              </w:tc>
              <w:tc>
                <w:tcPr>
                  <w:tcW w:w="2368" w:type="dxa"/>
                </w:tcPr>
                <w:p w14:paraId="6CAE7DA6"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Establish the scheme</w:t>
                  </w:r>
                </w:p>
              </w:tc>
              <w:tc>
                <w:tcPr>
                  <w:tcW w:w="1199" w:type="dxa"/>
                  <w:shd w:val="clear" w:color="auto" w:fill="F2F2F2" w:themeFill="background1" w:themeFillShade="F2"/>
                </w:tcPr>
                <w:p w14:paraId="4471125A"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19A37177"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21112EFE" w14:textId="77777777" w:rsidR="008B7142" w:rsidRPr="00210B21" w:rsidRDefault="008B7142" w:rsidP="008B7142">
                  <w:pPr>
                    <w:pStyle w:val="TableTT"/>
                    <w:spacing w:before="0" w:after="60" w:line="259" w:lineRule="auto"/>
                    <w:rPr>
                      <w:rFonts w:cs="Calibri"/>
                      <w:lang w:val="en-AU"/>
                    </w:rPr>
                  </w:pPr>
                </w:p>
              </w:tc>
              <w:tc>
                <w:tcPr>
                  <w:tcW w:w="3966" w:type="dxa"/>
                </w:tcPr>
                <w:p w14:paraId="7D172AC8" w14:textId="300092EC" w:rsidR="008B7142" w:rsidRPr="00210B21" w:rsidRDefault="008B7142" w:rsidP="008B7142">
                  <w:pPr>
                    <w:pStyle w:val="TableTT"/>
                    <w:spacing w:before="0" w:after="60" w:line="259" w:lineRule="auto"/>
                    <w:rPr>
                      <w:rFonts w:cs="Calibri"/>
                      <w:lang w:val="en-AU"/>
                    </w:rPr>
                  </w:pPr>
                  <w:r w:rsidRPr="00210B21">
                    <w:rPr>
                      <w:rFonts w:cs="Calibri"/>
                      <w:lang w:val="en-AU"/>
                    </w:rPr>
                    <w:t>Provide for establishing the scheme, for example constructing and opening depots and materials processing facilities, building funds for scheme administration and potentially collecting ARFD for a period of time prior to paying Deposits to consumers for returned items.</w:t>
                  </w:r>
                </w:p>
              </w:tc>
            </w:tr>
            <w:tr w:rsidR="008B7142" w:rsidRPr="00210B21" w14:paraId="78F552E3" w14:textId="77777777" w:rsidTr="00D22A17">
              <w:trPr>
                <w:cantSplit/>
              </w:trPr>
              <w:tc>
                <w:tcPr>
                  <w:tcW w:w="1733" w:type="dxa"/>
                  <w:vMerge/>
                </w:tcPr>
                <w:p w14:paraId="42AEE42E"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4A748117"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who the financial administrator is for the scheme</w:t>
                  </w:r>
                </w:p>
              </w:tc>
              <w:tc>
                <w:tcPr>
                  <w:tcW w:w="1199" w:type="dxa"/>
                  <w:shd w:val="clear" w:color="auto" w:fill="F2F2F2" w:themeFill="background1" w:themeFillShade="F2"/>
                </w:tcPr>
                <w:p w14:paraId="02E67522"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185E105C"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0140FB69" w14:textId="77777777" w:rsidR="008B7142" w:rsidRPr="00210B21" w:rsidRDefault="008B7142" w:rsidP="008B7142">
                  <w:pPr>
                    <w:pStyle w:val="TableTT"/>
                    <w:spacing w:before="0" w:after="60" w:line="259" w:lineRule="auto"/>
                    <w:rPr>
                      <w:rFonts w:cs="Calibri"/>
                      <w:lang w:val="en-AU"/>
                    </w:rPr>
                  </w:pPr>
                </w:p>
              </w:tc>
              <w:tc>
                <w:tcPr>
                  <w:tcW w:w="3966" w:type="dxa"/>
                </w:tcPr>
                <w:p w14:paraId="72893B06" w14:textId="2B449626" w:rsidR="008B7142" w:rsidRPr="00210B21" w:rsidRDefault="008B7142" w:rsidP="008B7142">
                  <w:pPr>
                    <w:pStyle w:val="TableTT"/>
                    <w:spacing w:before="0" w:after="60" w:line="259" w:lineRule="auto"/>
                    <w:rPr>
                      <w:rFonts w:cs="Calibri"/>
                      <w:lang w:val="en-AU"/>
                    </w:rPr>
                  </w:pPr>
                  <w:r w:rsidRPr="00210B21">
                    <w:rPr>
                      <w:rFonts w:cs="Calibri"/>
                      <w:lang w:val="en-AU"/>
                    </w:rPr>
                    <w:t xml:space="preserve">This is usually the Finance Ministry. </w:t>
                  </w:r>
                </w:p>
              </w:tc>
            </w:tr>
            <w:tr w:rsidR="007E2D6C" w:rsidRPr="00210B21" w14:paraId="08F34B7E" w14:textId="77777777" w:rsidTr="00D22A17">
              <w:trPr>
                <w:cantSplit/>
              </w:trPr>
              <w:tc>
                <w:tcPr>
                  <w:tcW w:w="1733" w:type="dxa"/>
                  <w:vMerge/>
                </w:tcPr>
                <w:p w14:paraId="7679C034" w14:textId="77777777" w:rsidR="007E2D6C" w:rsidRPr="00210B21" w:rsidRDefault="007E2D6C" w:rsidP="007E2D6C">
                  <w:pPr>
                    <w:pStyle w:val="TableNum"/>
                    <w:spacing w:before="0" w:after="60" w:line="259" w:lineRule="auto"/>
                    <w:ind w:left="284"/>
                    <w:rPr>
                      <w:rFonts w:ascii="Calibri" w:hAnsi="Calibri" w:cs="Calibri"/>
                      <w:szCs w:val="20"/>
                      <w:lang w:val="en-AU"/>
                    </w:rPr>
                  </w:pPr>
                </w:p>
              </w:tc>
              <w:tc>
                <w:tcPr>
                  <w:tcW w:w="2368" w:type="dxa"/>
                </w:tcPr>
                <w:p w14:paraId="37CF80E7" w14:textId="77777777" w:rsidR="007E2D6C" w:rsidRPr="00E55AA8" w:rsidRDefault="007E2D6C" w:rsidP="007E2D6C">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who coordinates the physical operations</w:t>
                  </w:r>
                </w:p>
              </w:tc>
              <w:tc>
                <w:tcPr>
                  <w:tcW w:w="1199" w:type="dxa"/>
                  <w:shd w:val="clear" w:color="auto" w:fill="F2F2F2" w:themeFill="background1" w:themeFillShade="F2"/>
                </w:tcPr>
                <w:p w14:paraId="49382849" w14:textId="77777777" w:rsidR="007E2D6C" w:rsidRPr="00210B21" w:rsidRDefault="007E2D6C" w:rsidP="007E2D6C">
                  <w:pPr>
                    <w:pStyle w:val="TableTT"/>
                    <w:spacing w:before="0" w:after="60" w:line="259" w:lineRule="auto"/>
                    <w:jc w:val="center"/>
                    <w:rPr>
                      <w:rFonts w:cs="Calibri"/>
                      <w:lang w:val="en-AU"/>
                    </w:rPr>
                  </w:pPr>
                </w:p>
              </w:tc>
              <w:tc>
                <w:tcPr>
                  <w:tcW w:w="2237" w:type="dxa"/>
                  <w:shd w:val="clear" w:color="auto" w:fill="F2F2F2" w:themeFill="background1" w:themeFillShade="F2"/>
                </w:tcPr>
                <w:p w14:paraId="676D9361" w14:textId="77777777" w:rsidR="007E2D6C" w:rsidRPr="00210B21" w:rsidRDefault="007E2D6C" w:rsidP="007E2D6C">
                  <w:pPr>
                    <w:pStyle w:val="TableTT"/>
                    <w:spacing w:before="0" w:after="60" w:line="259" w:lineRule="auto"/>
                    <w:rPr>
                      <w:rFonts w:cs="Calibri"/>
                      <w:lang w:val="en-AU"/>
                    </w:rPr>
                  </w:pPr>
                </w:p>
              </w:tc>
              <w:tc>
                <w:tcPr>
                  <w:tcW w:w="2867" w:type="dxa"/>
                  <w:shd w:val="clear" w:color="auto" w:fill="F2F2F2" w:themeFill="background1" w:themeFillShade="F2"/>
                </w:tcPr>
                <w:p w14:paraId="68DC5933" w14:textId="77777777" w:rsidR="007E2D6C" w:rsidRPr="00210B21" w:rsidRDefault="007E2D6C" w:rsidP="007E2D6C">
                  <w:pPr>
                    <w:pStyle w:val="TableTT"/>
                    <w:spacing w:before="0" w:after="60" w:line="259" w:lineRule="auto"/>
                    <w:rPr>
                      <w:rFonts w:cs="Calibri"/>
                      <w:lang w:val="en-AU"/>
                    </w:rPr>
                  </w:pPr>
                </w:p>
              </w:tc>
              <w:tc>
                <w:tcPr>
                  <w:tcW w:w="3966" w:type="dxa"/>
                </w:tcPr>
                <w:p w14:paraId="2E90FB0E" w14:textId="4E188077" w:rsidR="007E2D6C" w:rsidRPr="00210B21" w:rsidRDefault="007E2D6C" w:rsidP="007E2D6C">
                  <w:pPr>
                    <w:pStyle w:val="TableTT"/>
                    <w:spacing w:before="0" w:after="60" w:line="259" w:lineRule="auto"/>
                    <w:rPr>
                      <w:rFonts w:cs="Calibri"/>
                      <w:lang w:val="en-AU"/>
                    </w:rPr>
                  </w:pPr>
                  <w:r w:rsidRPr="007E2D6C">
                    <w:rPr>
                      <w:rFonts w:cs="Calibri"/>
                      <w:lang w:val="en-AU"/>
                    </w:rPr>
                    <w:t xml:space="preserve">What agency identified as appropriate </w:t>
                  </w:r>
                  <w:r>
                    <w:rPr>
                      <w:rFonts w:cs="Calibri"/>
                      <w:lang w:val="en-AU"/>
                    </w:rPr>
                    <w:t xml:space="preserve">to undertake </w:t>
                  </w:r>
                  <w:r w:rsidRPr="007E2D6C">
                    <w:rPr>
                      <w:rFonts w:cs="Calibri"/>
                      <w:lang w:val="en-AU"/>
                    </w:rPr>
                    <w:t>physical operations</w:t>
                  </w:r>
                  <w:r>
                    <w:rPr>
                      <w:rFonts w:cs="Calibri"/>
                      <w:lang w:val="en-AU"/>
                    </w:rPr>
                    <w:t xml:space="preserve"> for scheme</w:t>
                  </w:r>
                </w:p>
              </w:tc>
            </w:tr>
            <w:tr w:rsidR="008B7142" w:rsidRPr="00210B21" w14:paraId="2BB38456" w14:textId="77777777" w:rsidTr="00D22A17">
              <w:trPr>
                <w:cantSplit/>
              </w:trPr>
              <w:tc>
                <w:tcPr>
                  <w:tcW w:w="1733" w:type="dxa"/>
                  <w:vMerge/>
                </w:tcPr>
                <w:p w14:paraId="78A3E0FC"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41FB16F0"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the physical operations</w:t>
                  </w:r>
                </w:p>
              </w:tc>
              <w:tc>
                <w:tcPr>
                  <w:tcW w:w="1199" w:type="dxa"/>
                  <w:shd w:val="clear" w:color="auto" w:fill="F2F2F2" w:themeFill="background1" w:themeFillShade="F2"/>
                </w:tcPr>
                <w:p w14:paraId="4862822D"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D35A813"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66C7F568" w14:textId="77777777" w:rsidR="008B7142" w:rsidRPr="00210B21" w:rsidRDefault="008B7142" w:rsidP="008B7142">
                  <w:pPr>
                    <w:pStyle w:val="TableTT"/>
                    <w:spacing w:before="0" w:after="60" w:line="259" w:lineRule="auto"/>
                    <w:rPr>
                      <w:rFonts w:cs="Calibri"/>
                      <w:lang w:val="en-AU"/>
                    </w:rPr>
                  </w:pPr>
                </w:p>
              </w:tc>
              <w:tc>
                <w:tcPr>
                  <w:tcW w:w="3966" w:type="dxa"/>
                </w:tcPr>
                <w:p w14:paraId="58ABC489" w14:textId="6856D8CC" w:rsidR="008B7142" w:rsidRPr="00210B21" w:rsidRDefault="008B7142" w:rsidP="008B7142">
                  <w:pPr>
                    <w:pStyle w:val="TableTT"/>
                    <w:spacing w:before="0" w:after="60" w:line="259" w:lineRule="auto"/>
                    <w:rPr>
                      <w:rFonts w:cs="Calibri"/>
                      <w:lang w:val="en-AU"/>
                    </w:rPr>
                  </w:pPr>
                  <w:r w:rsidRPr="00210B21">
                    <w:rPr>
                      <w:rFonts w:cs="Calibri"/>
                      <w:lang w:val="en-AU"/>
                    </w:rPr>
                    <w:t>These may be:</w:t>
                  </w:r>
                </w:p>
                <w:p w14:paraId="509FA352" w14:textId="77777777" w:rsidR="008B7142" w:rsidRPr="00210B21" w:rsidRDefault="008B7142" w:rsidP="008B7142">
                  <w:pPr>
                    <w:pStyle w:val="TableTT"/>
                    <w:spacing w:before="0" w:after="60" w:line="259" w:lineRule="auto"/>
                    <w:rPr>
                      <w:rFonts w:cs="Calibri"/>
                      <w:lang w:val="en-AU"/>
                    </w:rPr>
                  </w:pPr>
                  <w:r w:rsidRPr="00210B21">
                    <w:rPr>
                      <w:rFonts w:cs="Calibri"/>
                      <w:lang w:val="en-AU"/>
                    </w:rPr>
                    <w:t>- Collection depots (provide for GEDSI)</w:t>
                  </w:r>
                </w:p>
                <w:p w14:paraId="17495BAE" w14:textId="77777777" w:rsidR="008B7142" w:rsidRPr="00210B21" w:rsidRDefault="008B7142" w:rsidP="008B7142">
                  <w:pPr>
                    <w:pStyle w:val="TableTT"/>
                    <w:spacing w:before="0" w:after="60" w:line="259" w:lineRule="auto"/>
                    <w:rPr>
                      <w:rFonts w:cs="Calibri"/>
                      <w:lang w:val="en-AU"/>
                    </w:rPr>
                  </w:pPr>
                  <w:r w:rsidRPr="00210B21">
                    <w:rPr>
                      <w:rFonts w:cs="Calibri"/>
                      <w:lang w:val="en-AU"/>
                    </w:rPr>
                    <w:t>- Logistical services in-country and international</w:t>
                  </w:r>
                </w:p>
                <w:p w14:paraId="744EE259" w14:textId="77777777" w:rsidR="008B7142" w:rsidRPr="00210B21" w:rsidRDefault="008B7142" w:rsidP="008B7142">
                  <w:pPr>
                    <w:pStyle w:val="TableTT"/>
                    <w:spacing w:before="0" w:after="60" w:line="259" w:lineRule="auto"/>
                    <w:rPr>
                      <w:rFonts w:cs="Calibri"/>
                      <w:lang w:val="en-AU"/>
                    </w:rPr>
                  </w:pPr>
                  <w:r w:rsidRPr="00210B21">
                    <w:rPr>
                      <w:rFonts w:cs="Calibri"/>
                      <w:lang w:val="en-AU"/>
                    </w:rPr>
                    <w:t xml:space="preserve">- Resource recovery centre.  – Communications </w:t>
                  </w:r>
                </w:p>
              </w:tc>
            </w:tr>
            <w:tr w:rsidR="008B7142" w:rsidRPr="00210B21" w14:paraId="231A2F67" w14:textId="77777777" w:rsidTr="00D22A17">
              <w:trPr>
                <w:cantSplit/>
              </w:trPr>
              <w:tc>
                <w:tcPr>
                  <w:tcW w:w="1733" w:type="dxa"/>
                  <w:vMerge/>
                </w:tcPr>
                <w:p w14:paraId="20E897E8"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16186FC2" w14:textId="7E56B120"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whether any responsibilities will be contracted to Private Sector operators</w:t>
                  </w:r>
                </w:p>
              </w:tc>
              <w:tc>
                <w:tcPr>
                  <w:tcW w:w="1199" w:type="dxa"/>
                  <w:shd w:val="clear" w:color="auto" w:fill="F2F2F2" w:themeFill="background1" w:themeFillShade="F2"/>
                </w:tcPr>
                <w:p w14:paraId="66FD4E24"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5843DEC3"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4B744E31" w14:textId="77777777" w:rsidR="008B7142" w:rsidRPr="00210B21" w:rsidRDefault="008B7142" w:rsidP="008B7142">
                  <w:pPr>
                    <w:pStyle w:val="TableTT"/>
                    <w:spacing w:before="0" w:after="60" w:line="259" w:lineRule="auto"/>
                    <w:rPr>
                      <w:rFonts w:cs="Calibri"/>
                      <w:lang w:val="en-AU"/>
                    </w:rPr>
                  </w:pPr>
                </w:p>
              </w:tc>
              <w:tc>
                <w:tcPr>
                  <w:tcW w:w="3966" w:type="dxa"/>
                </w:tcPr>
                <w:p w14:paraId="42841C19" w14:textId="54BF51F2" w:rsidR="008B7142" w:rsidRPr="00210B21" w:rsidRDefault="008B7142" w:rsidP="008B7142">
                  <w:pPr>
                    <w:pStyle w:val="TableTT"/>
                    <w:spacing w:before="0" w:after="60" w:line="259" w:lineRule="auto"/>
                    <w:rPr>
                      <w:rFonts w:cs="Calibri"/>
                      <w:lang w:val="en-AU"/>
                    </w:rPr>
                  </w:pPr>
                  <w:r w:rsidRPr="00210B21">
                    <w:rPr>
                      <w:rFonts w:cs="Calibri"/>
                      <w:lang w:val="en-AU"/>
                    </w:rPr>
                    <w:t xml:space="preserve">The country may already have a </w:t>
                  </w:r>
                  <w:r>
                    <w:rPr>
                      <w:rFonts w:cs="Calibri"/>
                      <w:lang w:val="en-AU"/>
                    </w:rPr>
                    <w:t>Private Sector</w:t>
                  </w:r>
                  <w:r w:rsidRPr="00210B21">
                    <w:rPr>
                      <w:rFonts w:cs="Calibri"/>
                      <w:lang w:val="en-AU"/>
                    </w:rPr>
                    <w:t xml:space="preserve"> operator </w:t>
                  </w:r>
                  <w:r w:rsidR="007E2D6C">
                    <w:rPr>
                      <w:rFonts w:cs="Calibri"/>
                      <w:lang w:val="en-AU"/>
                    </w:rPr>
                    <w:t>who may have been identified as appropriate as scheme partner.</w:t>
                  </w:r>
                </w:p>
              </w:tc>
            </w:tr>
            <w:tr w:rsidR="008B7142" w:rsidRPr="00210B21" w14:paraId="5AB8B021" w14:textId="77777777" w:rsidTr="00D22A17">
              <w:trPr>
                <w:cantSplit/>
              </w:trPr>
              <w:tc>
                <w:tcPr>
                  <w:tcW w:w="1733" w:type="dxa"/>
                  <w:vMerge/>
                </w:tcPr>
                <w:p w14:paraId="3E9938F7"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172B3E90"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which agency is the contract principle (if contracted)</w:t>
                  </w:r>
                </w:p>
              </w:tc>
              <w:tc>
                <w:tcPr>
                  <w:tcW w:w="1199" w:type="dxa"/>
                  <w:shd w:val="clear" w:color="auto" w:fill="F2F2F2" w:themeFill="background1" w:themeFillShade="F2"/>
                </w:tcPr>
                <w:p w14:paraId="3C5C54EB"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65B4E11"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3E803210" w14:textId="77777777" w:rsidR="008B7142" w:rsidRPr="00210B21" w:rsidRDefault="008B7142" w:rsidP="008B7142">
                  <w:pPr>
                    <w:pStyle w:val="TableTT"/>
                    <w:spacing w:before="0" w:after="60" w:line="259" w:lineRule="auto"/>
                    <w:rPr>
                      <w:rFonts w:cs="Calibri"/>
                      <w:lang w:val="en-AU"/>
                    </w:rPr>
                  </w:pPr>
                </w:p>
              </w:tc>
              <w:tc>
                <w:tcPr>
                  <w:tcW w:w="3966" w:type="dxa"/>
                </w:tcPr>
                <w:p w14:paraId="710BE430" w14:textId="0B5536A7" w:rsidR="008B7142" w:rsidRPr="00210B21" w:rsidRDefault="007E2D6C" w:rsidP="008B7142">
                  <w:pPr>
                    <w:pStyle w:val="TableTT"/>
                    <w:spacing w:before="0" w:after="60" w:line="259" w:lineRule="auto"/>
                    <w:rPr>
                      <w:rFonts w:cs="Calibri"/>
                      <w:lang w:val="en-AU"/>
                    </w:rPr>
                  </w:pPr>
                  <w:r>
                    <w:rPr>
                      <w:rFonts w:cs="Calibri"/>
                      <w:lang w:val="en-AU"/>
                    </w:rPr>
                    <w:t>What agency identified as appropriate for scheme management</w:t>
                  </w:r>
                  <w:r w:rsidR="008B7142" w:rsidRPr="00210B21">
                    <w:rPr>
                      <w:rFonts w:cs="Calibri"/>
                      <w:lang w:val="en-AU"/>
                    </w:rPr>
                    <w:t xml:space="preserve">  </w:t>
                  </w:r>
                </w:p>
              </w:tc>
            </w:tr>
            <w:tr w:rsidR="008B7142" w:rsidRPr="00210B21" w14:paraId="2ECD3EF9" w14:textId="77777777" w:rsidTr="00D22A17">
              <w:trPr>
                <w:cantSplit/>
              </w:trPr>
              <w:tc>
                <w:tcPr>
                  <w:tcW w:w="1733" w:type="dxa"/>
                  <w:vMerge/>
                </w:tcPr>
                <w:p w14:paraId="7A49D6B9"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7DBF7742"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Identify the condition of returned items that will allow payment of Deposits.</w:t>
                  </w:r>
                </w:p>
              </w:tc>
              <w:tc>
                <w:tcPr>
                  <w:tcW w:w="1199" w:type="dxa"/>
                  <w:shd w:val="clear" w:color="auto" w:fill="F2F2F2" w:themeFill="background1" w:themeFillShade="F2"/>
                </w:tcPr>
                <w:p w14:paraId="54EFB431"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11A53067"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35AF9EF7" w14:textId="77777777" w:rsidR="008B7142" w:rsidRPr="00210B21" w:rsidRDefault="008B7142" w:rsidP="008B7142">
                  <w:pPr>
                    <w:pStyle w:val="TableTT"/>
                    <w:spacing w:before="0" w:after="60" w:line="259" w:lineRule="auto"/>
                    <w:rPr>
                      <w:rFonts w:cs="Calibri"/>
                      <w:lang w:val="en-AU"/>
                    </w:rPr>
                  </w:pPr>
                </w:p>
              </w:tc>
              <w:tc>
                <w:tcPr>
                  <w:tcW w:w="3966" w:type="dxa"/>
                </w:tcPr>
                <w:p w14:paraId="354F0927" w14:textId="570D562B" w:rsidR="008B7142" w:rsidRPr="00210B21" w:rsidRDefault="008B7142" w:rsidP="008B7142">
                  <w:pPr>
                    <w:pStyle w:val="TableTT"/>
                    <w:spacing w:before="0" w:after="60" w:line="259" w:lineRule="auto"/>
                    <w:rPr>
                      <w:rFonts w:cs="Calibri"/>
                      <w:lang w:val="en-AU"/>
                    </w:rPr>
                  </w:pPr>
                  <w:r w:rsidRPr="00210B21">
                    <w:rPr>
                      <w:rFonts w:cs="Calibri"/>
                      <w:lang w:val="en-AU"/>
                    </w:rPr>
                    <w:t>Items should be clean.  The condition of the item will also be based on the countries processes for handling the redeemed items. Regulations will need to specify the condition of provide for the scheme operator or administrator to specify condition requirements.</w:t>
                  </w:r>
                </w:p>
              </w:tc>
            </w:tr>
            <w:tr w:rsidR="008B7142" w:rsidRPr="00210B21" w14:paraId="275464AD" w14:textId="77777777" w:rsidTr="00D22A17">
              <w:trPr>
                <w:cantSplit/>
              </w:trPr>
              <w:tc>
                <w:tcPr>
                  <w:tcW w:w="1733" w:type="dxa"/>
                  <w:vMerge/>
                </w:tcPr>
                <w:p w14:paraId="12F59B78"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735A093B"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Require locating of collection depots in locations that ensure recovery target can be achieved.</w:t>
                  </w:r>
                </w:p>
              </w:tc>
              <w:tc>
                <w:tcPr>
                  <w:tcW w:w="1199" w:type="dxa"/>
                  <w:shd w:val="clear" w:color="auto" w:fill="F2F2F2" w:themeFill="background1" w:themeFillShade="F2"/>
                </w:tcPr>
                <w:p w14:paraId="63A8D3F5"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42E65239"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131E4F25" w14:textId="77777777" w:rsidR="008B7142" w:rsidRPr="00210B21" w:rsidRDefault="008B7142" w:rsidP="008B7142">
                  <w:pPr>
                    <w:pStyle w:val="TableTT"/>
                    <w:spacing w:before="0" w:after="60" w:line="259" w:lineRule="auto"/>
                    <w:rPr>
                      <w:rFonts w:cs="Calibri"/>
                      <w:lang w:val="en-AU"/>
                    </w:rPr>
                  </w:pPr>
                </w:p>
              </w:tc>
              <w:tc>
                <w:tcPr>
                  <w:tcW w:w="3966" w:type="dxa"/>
                </w:tcPr>
                <w:p w14:paraId="602116F1" w14:textId="2D72406D" w:rsidR="008B7142" w:rsidRPr="00210B21" w:rsidRDefault="008B7142" w:rsidP="008B7142">
                  <w:pPr>
                    <w:pStyle w:val="TableTT"/>
                    <w:spacing w:before="0" w:after="60" w:line="259" w:lineRule="auto"/>
                    <w:rPr>
                      <w:rFonts w:cs="Calibri"/>
                      <w:lang w:val="en-AU"/>
                    </w:rPr>
                  </w:pPr>
                  <w:r w:rsidRPr="00210B21">
                    <w:rPr>
                      <w:rFonts w:cs="Calibri"/>
                      <w:lang w:val="en-AU"/>
                    </w:rPr>
                    <w:t>Collection depots should be located to allow easy access by members of the community.  This assists to achieve maximum return rates.</w:t>
                  </w:r>
                </w:p>
              </w:tc>
            </w:tr>
            <w:tr w:rsidR="008B7142" w:rsidRPr="00210B21" w14:paraId="6C623099" w14:textId="77777777" w:rsidTr="00D22A17">
              <w:trPr>
                <w:cantSplit/>
              </w:trPr>
              <w:tc>
                <w:tcPr>
                  <w:tcW w:w="1733" w:type="dxa"/>
                  <w:vMerge/>
                </w:tcPr>
                <w:p w14:paraId="6BA6FA2A"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7FD81BBC"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Provide for an exemption with criteria to be met for disposal of recovered items should repatriation be unviable.</w:t>
                  </w:r>
                </w:p>
              </w:tc>
              <w:tc>
                <w:tcPr>
                  <w:tcW w:w="1199" w:type="dxa"/>
                  <w:shd w:val="clear" w:color="auto" w:fill="F2F2F2" w:themeFill="background1" w:themeFillShade="F2"/>
                </w:tcPr>
                <w:p w14:paraId="2A0B1250"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5D508BD7"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7D0374EF" w14:textId="77777777" w:rsidR="008B7142" w:rsidRPr="00210B21" w:rsidRDefault="008B7142" w:rsidP="008B7142">
                  <w:pPr>
                    <w:pStyle w:val="TableTT"/>
                    <w:spacing w:before="0" w:after="60" w:line="259" w:lineRule="auto"/>
                    <w:rPr>
                      <w:rFonts w:cs="Calibri"/>
                      <w:lang w:val="en-AU"/>
                    </w:rPr>
                  </w:pPr>
                </w:p>
              </w:tc>
              <w:tc>
                <w:tcPr>
                  <w:tcW w:w="3966" w:type="dxa"/>
                </w:tcPr>
                <w:p w14:paraId="20ACEC84" w14:textId="0CCF051A" w:rsidR="008B7142" w:rsidRPr="00210B21" w:rsidRDefault="008B7142" w:rsidP="008B7142">
                  <w:pPr>
                    <w:pStyle w:val="TableTT"/>
                    <w:spacing w:before="0" w:after="60" w:line="259" w:lineRule="auto"/>
                    <w:rPr>
                      <w:rFonts w:cs="Calibri"/>
                      <w:lang w:val="en-AU"/>
                    </w:rPr>
                  </w:pPr>
                  <w:r w:rsidRPr="00210B21">
                    <w:rPr>
                      <w:rFonts w:cs="Calibri"/>
                      <w:lang w:val="en-AU"/>
                    </w:rPr>
                    <w:t>There may be times when a receiver for recyclables cannot be found so process can be designed to manage such an event such as an exemption for disposal to landfill or other measures.  This could be subject to the approval of the Secretary or Minister.</w:t>
                  </w:r>
                </w:p>
              </w:tc>
            </w:tr>
            <w:tr w:rsidR="008B7142" w:rsidRPr="00210B21" w14:paraId="02A6FD80" w14:textId="77777777" w:rsidTr="00D22A17">
              <w:trPr>
                <w:cantSplit/>
              </w:trPr>
              <w:tc>
                <w:tcPr>
                  <w:tcW w:w="1733" w:type="dxa"/>
                </w:tcPr>
                <w:p w14:paraId="0DEF5C97" w14:textId="77777777" w:rsidR="008B7142" w:rsidRPr="00210B21" w:rsidRDefault="008B7142" w:rsidP="008B7142">
                  <w:pPr>
                    <w:pStyle w:val="TableNum"/>
                    <w:spacing w:before="0" w:after="60" w:line="259" w:lineRule="auto"/>
                    <w:ind w:left="28" w:firstLine="0"/>
                    <w:rPr>
                      <w:rFonts w:ascii="Calibri" w:hAnsi="Calibri" w:cs="Calibri"/>
                      <w:szCs w:val="20"/>
                      <w:lang w:val="en-AU"/>
                    </w:rPr>
                  </w:pPr>
                  <w:r w:rsidRPr="00210B21">
                    <w:rPr>
                      <w:rFonts w:ascii="Calibri" w:hAnsi="Calibri" w:cs="Calibri"/>
                      <w:szCs w:val="20"/>
                      <w:lang w:val="en-AU"/>
                    </w:rPr>
                    <w:lastRenderedPageBreak/>
                    <w:t>Gender Equality, Disability, and Social Inclusion (GEDSI)</w:t>
                  </w:r>
                </w:p>
              </w:tc>
              <w:tc>
                <w:tcPr>
                  <w:tcW w:w="2368" w:type="dxa"/>
                </w:tcPr>
                <w:p w14:paraId="32BFBBD6"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accessibility (GEDSI) requirements for collection depots.</w:t>
                  </w:r>
                </w:p>
              </w:tc>
              <w:tc>
                <w:tcPr>
                  <w:tcW w:w="1199" w:type="dxa"/>
                  <w:shd w:val="clear" w:color="auto" w:fill="F2F2F2" w:themeFill="background1" w:themeFillShade="F2"/>
                </w:tcPr>
                <w:p w14:paraId="3C4B39C0"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1F19F5BD"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7838C12C" w14:textId="77777777" w:rsidR="008B7142" w:rsidRPr="00210B21" w:rsidRDefault="008B7142" w:rsidP="008B7142">
                  <w:pPr>
                    <w:pStyle w:val="TableTT"/>
                    <w:spacing w:before="0" w:after="60" w:line="259" w:lineRule="auto"/>
                    <w:rPr>
                      <w:rFonts w:cs="Calibri"/>
                      <w:lang w:val="en-AU"/>
                    </w:rPr>
                  </w:pPr>
                </w:p>
              </w:tc>
              <w:tc>
                <w:tcPr>
                  <w:tcW w:w="3966" w:type="dxa"/>
                </w:tcPr>
                <w:p w14:paraId="0095D651" w14:textId="08A9E166" w:rsidR="008B7142" w:rsidRPr="00210B21" w:rsidRDefault="008B7142" w:rsidP="008B7142">
                  <w:pPr>
                    <w:pStyle w:val="TableTT"/>
                    <w:spacing w:before="0" w:after="60" w:line="259" w:lineRule="auto"/>
                    <w:rPr>
                      <w:rFonts w:cs="Calibri"/>
                      <w:lang w:val="en-AU"/>
                    </w:rPr>
                  </w:pPr>
                  <w:r w:rsidRPr="00210B21">
                    <w:rPr>
                      <w:rFonts w:cs="Calibri"/>
                      <w:lang w:val="en-AU"/>
                    </w:rPr>
                    <w:t>Systems and collection depots should be accessible for all regardless of age, gender, and mobility level.  The GEDSI plan should be referred to, to develop guidelines for location, operating hours and design of collection depots.</w:t>
                  </w:r>
                </w:p>
              </w:tc>
            </w:tr>
            <w:tr w:rsidR="008B7142" w:rsidRPr="00210B21" w14:paraId="7715B582" w14:textId="77777777" w:rsidTr="00D22A17">
              <w:trPr>
                <w:cantSplit/>
              </w:trPr>
              <w:tc>
                <w:tcPr>
                  <w:tcW w:w="1733" w:type="dxa"/>
                  <w:vMerge w:val="restart"/>
                </w:tcPr>
                <w:p w14:paraId="5B57C56E"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Offences</w:t>
                  </w:r>
                </w:p>
              </w:tc>
              <w:tc>
                <w:tcPr>
                  <w:tcW w:w="2368" w:type="dxa"/>
                </w:tcPr>
                <w:p w14:paraId="513DF410"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offences and penalties.</w:t>
                  </w:r>
                </w:p>
              </w:tc>
              <w:tc>
                <w:tcPr>
                  <w:tcW w:w="1199" w:type="dxa"/>
                  <w:shd w:val="clear" w:color="auto" w:fill="F2F2F2" w:themeFill="background1" w:themeFillShade="F2"/>
                </w:tcPr>
                <w:p w14:paraId="0E0C7603"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71840B59"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1FDDD181" w14:textId="77777777" w:rsidR="008B7142" w:rsidRPr="00210B21" w:rsidRDefault="008B7142" w:rsidP="008B7142">
                  <w:pPr>
                    <w:pStyle w:val="TableTT"/>
                    <w:spacing w:before="0" w:after="60" w:line="259" w:lineRule="auto"/>
                    <w:rPr>
                      <w:rFonts w:cs="Calibri"/>
                      <w:lang w:val="en-AU"/>
                    </w:rPr>
                  </w:pPr>
                </w:p>
              </w:tc>
              <w:tc>
                <w:tcPr>
                  <w:tcW w:w="3966" w:type="dxa"/>
                </w:tcPr>
                <w:p w14:paraId="50C8F842" w14:textId="34579AE3" w:rsidR="008B7142" w:rsidRPr="00210B21" w:rsidRDefault="008B7142" w:rsidP="008B7142">
                  <w:pPr>
                    <w:pStyle w:val="TableTT"/>
                    <w:spacing w:before="0" w:after="60" w:line="259" w:lineRule="auto"/>
                    <w:rPr>
                      <w:rFonts w:cs="Calibri"/>
                      <w:lang w:val="en-AU"/>
                    </w:rPr>
                  </w:pPr>
                  <w:r w:rsidRPr="00210B21">
                    <w:rPr>
                      <w:rFonts w:cs="Calibri"/>
                      <w:lang w:val="en-AU"/>
                    </w:rPr>
                    <w:t xml:space="preserve">Offences can be made for actions that go against those obligations placed on parties and corruption within the scheme.  </w:t>
                  </w:r>
                </w:p>
              </w:tc>
            </w:tr>
            <w:tr w:rsidR="008B7142" w:rsidRPr="00210B21" w14:paraId="140FDD34" w14:textId="77777777" w:rsidTr="00D22A17">
              <w:trPr>
                <w:cantSplit/>
              </w:trPr>
              <w:tc>
                <w:tcPr>
                  <w:tcW w:w="1733" w:type="dxa"/>
                  <w:vMerge/>
                </w:tcPr>
                <w:p w14:paraId="16E139E2"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59765E1B"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Specify how fraudulent activity will be investigated</w:t>
                  </w:r>
                </w:p>
              </w:tc>
              <w:tc>
                <w:tcPr>
                  <w:tcW w:w="1199" w:type="dxa"/>
                  <w:shd w:val="clear" w:color="auto" w:fill="F2F2F2" w:themeFill="background1" w:themeFillShade="F2"/>
                </w:tcPr>
                <w:p w14:paraId="2AAA1B5D"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2C599081"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725F4E5D" w14:textId="77777777" w:rsidR="008B7142" w:rsidRPr="00210B21" w:rsidRDefault="008B7142" w:rsidP="008B7142">
                  <w:pPr>
                    <w:pStyle w:val="TableTT"/>
                    <w:spacing w:before="0" w:after="60" w:line="259" w:lineRule="auto"/>
                    <w:rPr>
                      <w:rFonts w:cs="Calibri"/>
                      <w:lang w:val="en-AU"/>
                    </w:rPr>
                  </w:pPr>
                </w:p>
              </w:tc>
              <w:tc>
                <w:tcPr>
                  <w:tcW w:w="3966" w:type="dxa"/>
                </w:tcPr>
                <w:p w14:paraId="2D0504D5" w14:textId="1BBB0FF1" w:rsidR="008B7142" w:rsidRPr="00210B21" w:rsidRDefault="008B7142" w:rsidP="008B7142">
                  <w:pPr>
                    <w:pStyle w:val="TableTT"/>
                    <w:spacing w:before="0" w:after="60" w:line="259" w:lineRule="auto"/>
                    <w:rPr>
                      <w:rFonts w:cs="Calibri"/>
                      <w:lang w:val="en-AU"/>
                    </w:rPr>
                  </w:pPr>
                  <w:r w:rsidRPr="00210B21">
                    <w:rPr>
                      <w:rFonts w:cs="Calibri"/>
                      <w:lang w:val="en-AU"/>
                    </w:rPr>
                    <w:t xml:space="preserve">There should be a provision in the legislation describing the procedure of investigation against fraudulent activities with police enforcement. </w:t>
                  </w:r>
                </w:p>
                <w:p w14:paraId="34971CBF" w14:textId="77777777" w:rsidR="008B7142" w:rsidRPr="00210B21" w:rsidRDefault="008B7142" w:rsidP="008B7142">
                  <w:pPr>
                    <w:pStyle w:val="TableTT"/>
                    <w:spacing w:before="0" w:after="60" w:line="259" w:lineRule="auto"/>
                    <w:rPr>
                      <w:rFonts w:cs="Calibri"/>
                      <w:lang w:val="en-AU"/>
                    </w:rPr>
                  </w:pPr>
                  <w:r w:rsidRPr="00210B21">
                    <w:rPr>
                      <w:rFonts w:cs="Calibri"/>
                      <w:lang w:val="en-AU"/>
                    </w:rPr>
                    <w:t>Periodic auditing of operation and funds should also be indicated either in the policy or legislation.</w:t>
                  </w:r>
                </w:p>
              </w:tc>
            </w:tr>
            <w:tr w:rsidR="008B7142" w:rsidRPr="00210B21" w14:paraId="0D5475C7" w14:textId="77777777" w:rsidTr="00D22A17">
              <w:trPr>
                <w:cantSplit/>
              </w:trPr>
              <w:tc>
                <w:tcPr>
                  <w:tcW w:w="1733" w:type="dxa"/>
                  <w:vMerge w:val="restart"/>
                </w:tcPr>
                <w:p w14:paraId="3FA5BD67"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Monitoring</w:t>
                  </w:r>
                </w:p>
              </w:tc>
              <w:tc>
                <w:tcPr>
                  <w:tcW w:w="2368" w:type="dxa"/>
                </w:tcPr>
                <w:p w14:paraId="545FE405"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Establish the target for recovery.</w:t>
                  </w:r>
                </w:p>
              </w:tc>
              <w:tc>
                <w:tcPr>
                  <w:tcW w:w="1199" w:type="dxa"/>
                  <w:shd w:val="clear" w:color="auto" w:fill="F2F2F2" w:themeFill="background1" w:themeFillShade="F2"/>
                </w:tcPr>
                <w:p w14:paraId="23FB346D"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1B0CF692"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4E083648" w14:textId="77777777" w:rsidR="008B7142" w:rsidRPr="00210B21" w:rsidRDefault="008B7142" w:rsidP="008B7142">
                  <w:pPr>
                    <w:pStyle w:val="TableTT"/>
                    <w:spacing w:before="0" w:after="60" w:line="259" w:lineRule="auto"/>
                    <w:rPr>
                      <w:rFonts w:cs="Calibri"/>
                      <w:lang w:val="en-AU"/>
                    </w:rPr>
                  </w:pPr>
                </w:p>
              </w:tc>
              <w:tc>
                <w:tcPr>
                  <w:tcW w:w="3966" w:type="dxa"/>
                </w:tcPr>
                <w:p w14:paraId="7DBB7838" w14:textId="4D4E405E" w:rsidR="008B7142" w:rsidRPr="00210B21" w:rsidRDefault="008B7142" w:rsidP="008B7142">
                  <w:pPr>
                    <w:pStyle w:val="TableTT"/>
                    <w:spacing w:before="0" w:after="60" w:line="259" w:lineRule="auto"/>
                    <w:rPr>
                      <w:rFonts w:cs="Calibri"/>
                      <w:lang w:val="en-AU"/>
                    </w:rPr>
                  </w:pPr>
                  <w:r w:rsidRPr="00210B21">
                    <w:rPr>
                      <w:rFonts w:cs="Calibri"/>
                      <w:lang w:val="en-AU"/>
                    </w:rPr>
                    <w:t xml:space="preserve">Setting a target can help the country measure success against a goal.  The target may be provided in the policy through an M&amp;E framework policy and specified in contractual arrangements and not explicitly set in legislation/ regulation. </w:t>
                  </w:r>
                </w:p>
              </w:tc>
            </w:tr>
            <w:tr w:rsidR="008B7142" w:rsidRPr="00210B21" w14:paraId="75E11D98" w14:textId="77777777" w:rsidTr="00D22A17">
              <w:trPr>
                <w:cantSplit/>
              </w:trPr>
              <w:tc>
                <w:tcPr>
                  <w:tcW w:w="1733" w:type="dxa"/>
                  <w:vMerge/>
                </w:tcPr>
                <w:p w14:paraId="7C37038B"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658FEACC"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Outline measures for if targets are not met.</w:t>
                  </w:r>
                </w:p>
              </w:tc>
              <w:tc>
                <w:tcPr>
                  <w:tcW w:w="1199" w:type="dxa"/>
                  <w:shd w:val="clear" w:color="auto" w:fill="F2F2F2" w:themeFill="background1" w:themeFillShade="F2"/>
                </w:tcPr>
                <w:p w14:paraId="47BF6A7C"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72429150"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138DC256" w14:textId="77777777" w:rsidR="008B7142" w:rsidRPr="00210B21" w:rsidRDefault="008B7142" w:rsidP="008B7142">
                  <w:pPr>
                    <w:pStyle w:val="TableTT"/>
                    <w:spacing w:before="0" w:after="60" w:line="259" w:lineRule="auto"/>
                    <w:rPr>
                      <w:rFonts w:cs="Calibri"/>
                      <w:lang w:val="en-AU"/>
                    </w:rPr>
                  </w:pPr>
                </w:p>
              </w:tc>
              <w:tc>
                <w:tcPr>
                  <w:tcW w:w="3966" w:type="dxa"/>
                </w:tcPr>
                <w:p w14:paraId="5D2F8553" w14:textId="2C1743B8" w:rsidR="008B7142" w:rsidRPr="00210B21" w:rsidRDefault="008B7142" w:rsidP="008B7142">
                  <w:pPr>
                    <w:pStyle w:val="TableTT"/>
                    <w:spacing w:before="0" w:after="60" w:line="259" w:lineRule="auto"/>
                    <w:rPr>
                      <w:rFonts w:cs="Calibri"/>
                      <w:lang w:val="en-AU"/>
                    </w:rPr>
                  </w:pPr>
                  <w:r w:rsidRPr="00210B21">
                    <w:rPr>
                      <w:rFonts w:cs="Calibri"/>
                      <w:lang w:val="en-AU"/>
                    </w:rPr>
                    <w:t>The ARFD system needs to have an M&amp;E framework that will assist in measuring progress and evaluating reliability and effectiveness of the system. This will be a supporting document to the policy. Continuous improvement measures should be taken if the system shows poor performance. These measures can be recommended based on the audit and may include at a minimum, among others:</w:t>
                  </w:r>
                </w:p>
                <w:p w14:paraId="031AAC9B" w14:textId="77777777" w:rsidR="008B7142" w:rsidRPr="00210B21" w:rsidRDefault="008B7142" w:rsidP="008B7142">
                  <w:pPr>
                    <w:pStyle w:val="TableTT"/>
                    <w:numPr>
                      <w:ilvl w:val="0"/>
                      <w:numId w:val="33"/>
                    </w:numPr>
                    <w:spacing w:before="0" w:after="60" w:line="259" w:lineRule="auto"/>
                    <w:rPr>
                      <w:rFonts w:cs="Calibri"/>
                      <w:lang w:val="en-AU"/>
                    </w:rPr>
                  </w:pPr>
                  <w:r w:rsidRPr="00210B21">
                    <w:rPr>
                      <w:rFonts w:cs="Calibri"/>
                      <w:lang w:val="en-AU"/>
                    </w:rPr>
                    <w:t xml:space="preserve">Reassessing the location of collection depots and operating hours, </w:t>
                  </w:r>
                </w:p>
                <w:p w14:paraId="315C558E" w14:textId="77777777" w:rsidR="008B7142" w:rsidRPr="00210B21" w:rsidRDefault="008B7142" w:rsidP="008B7142">
                  <w:pPr>
                    <w:pStyle w:val="TableTT"/>
                    <w:numPr>
                      <w:ilvl w:val="0"/>
                      <w:numId w:val="33"/>
                    </w:numPr>
                    <w:spacing w:before="0" w:after="60" w:line="259" w:lineRule="auto"/>
                    <w:rPr>
                      <w:rFonts w:cs="Calibri"/>
                      <w:lang w:val="en-AU"/>
                    </w:rPr>
                  </w:pPr>
                  <w:r w:rsidRPr="00210B21">
                    <w:rPr>
                      <w:rFonts w:cs="Calibri"/>
                      <w:lang w:val="en-AU"/>
                    </w:rPr>
                    <w:t>Assessing the way operators work</w:t>
                  </w:r>
                </w:p>
                <w:p w14:paraId="3E4AF89D" w14:textId="77777777" w:rsidR="008B7142" w:rsidRPr="00210B21" w:rsidRDefault="008B7142" w:rsidP="008B7142">
                  <w:pPr>
                    <w:pStyle w:val="TableTT"/>
                    <w:numPr>
                      <w:ilvl w:val="0"/>
                      <w:numId w:val="33"/>
                    </w:numPr>
                    <w:spacing w:before="0" w:after="60" w:line="259" w:lineRule="auto"/>
                    <w:rPr>
                      <w:rFonts w:cs="Calibri"/>
                      <w:lang w:val="en-AU"/>
                    </w:rPr>
                  </w:pPr>
                  <w:r w:rsidRPr="00210B21">
                    <w:rPr>
                      <w:rFonts w:cs="Calibri"/>
                      <w:lang w:val="en-AU"/>
                    </w:rPr>
                    <w:t xml:space="preserve">Carrying out education and awareness.  </w:t>
                  </w:r>
                </w:p>
              </w:tc>
            </w:tr>
            <w:tr w:rsidR="008B7142" w:rsidRPr="00210B21" w14:paraId="12810E50" w14:textId="77777777" w:rsidTr="00D22A17">
              <w:trPr>
                <w:cantSplit/>
              </w:trPr>
              <w:tc>
                <w:tcPr>
                  <w:tcW w:w="1733" w:type="dxa"/>
                </w:tcPr>
                <w:p w14:paraId="58394974"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lastRenderedPageBreak/>
                    <w:t>Auditing</w:t>
                  </w:r>
                </w:p>
              </w:tc>
              <w:tc>
                <w:tcPr>
                  <w:tcW w:w="2368" w:type="dxa"/>
                </w:tcPr>
                <w:p w14:paraId="28C3BD16"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State requirement for auditing</w:t>
                  </w:r>
                </w:p>
              </w:tc>
              <w:tc>
                <w:tcPr>
                  <w:tcW w:w="1199" w:type="dxa"/>
                  <w:shd w:val="clear" w:color="auto" w:fill="F2F2F2" w:themeFill="background1" w:themeFillShade="F2"/>
                </w:tcPr>
                <w:p w14:paraId="5D547C4E"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3323A336"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0338F240" w14:textId="77777777" w:rsidR="008B7142" w:rsidRPr="00210B21" w:rsidRDefault="008B7142" w:rsidP="008B7142">
                  <w:pPr>
                    <w:pStyle w:val="TableTT"/>
                    <w:spacing w:before="0" w:after="60" w:line="259" w:lineRule="auto"/>
                    <w:rPr>
                      <w:rFonts w:cs="Calibri"/>
                      <w:lang w:val="en-AU"/>
                    </w:rPr>
                  </w:pPr>
                </w:p>
              </w:tc>
              <w:tc>
                <w:tcPr>
                  <w:tcW w:w="3966" w:type="dxa"/>
                </w:tcPr>
                <w:p w14:paraId="7839B594" w14:textId="40652493" w:rsidR="008B7142" w:rsidRPr="00210B21" w:rsidRDefault="008B7142" w:rsidP="008B7142">
                  <w:pPr>
                    <w:pStyle w:val="TableTT"/>
                    <w:spacing w:before="0" w:after="60" w:line="259" w:lineRule="auto"/>
                    <w:rPr>
                      <w:rFonts w:cs="Calibri"/>
                      <w:lang w:val="en-AU"/>
                    </w:rPr>
                  </w:pPr>
                  <w:r w:rsidRPr="00210B21">
                    <w:rPr>
                      <w:rFonts w:cs="Calibri"/>
                      <w:lang w:val="en-AU"/>
                    </w:rPr>
                    <w:t xml:space="preserve">Determine how often does the country want to audit the fund and the operations. </w:t>
                  </w:r>
                </w:p>
                <w:p w14:paraId="58F7DEA2" w14:textId="77777777" w:rsidR="008B7142" w:rsidRPr="00210B21" w:rsidRDefault="008B7142" w:rsidP="008B7142">
                  <w:pPr>
                    <w:pStyle w:val="TableTT"/>
                    <w:spacing w:before="0" w:after="60" w:line="259" w:lineRule="auto"/>
                    <w:rPr>
                      <w:rFonts w:cs="Calibri"/>
                      <w:lang w:val="en-AU"/>
                    </w:rPr>
                  </w:pPr>
                  <w:r w:rsidRPr="00210B21">
                    <w:rPr>
                      <w:rFonts w:cs="Calibri"/>
                      <w:lang w:val="en-AU"/>
                    </w:rPr>
                    <w:t xml:space="preserve">Depending on government auditing capacity, would a separate audit need to be specified in ARFD legislation or would the ARFD be audited as per government procedures? </w:t>
                  </w:r>
                </w:p>
                <w:p w14:paraId="3824CE09" w14:textId="77777777" w:rsidR="008B7142" w:rsidRPr="00210B21" w:rsidRDefault="008B7142" w:rsidP="008B7142">
                  <w:pPr>
                    <w:pStyle w:val="TableTT"/>
                    <w:spacing w:before="0" w:after="60" w:line="259" w:lineRule="auto"/>
                    <w:rPr>
                      <w:rFonts w:cs="Calibri"/>
                      <w:lang w:val="en-AU"/>
                    </w:rPr>
                  </w:pPr>
                  <w:r w:rsidRPr="00210B21">
                    <w:rPr>
                      <w:rFonts w:cs="Calibri"/>
                      <w:lang w:val="en-AU"/>
                    </w:rPr>
                    <w:t>The audit report may be written to be required by the governments audit entity.</w:t>
                  </w:r>
                </w:p>
              </w:tc>
            </w:tr>
            <w:tr w:rsidR="008B7142" w:rsidRPr="00210B21" w14:paraId="6ECDC9A3" w14:textId="77777777" w:rsidTr="00D22A17">
              <w:trPr>
                <w:cantSplit/>
              </w:trPr>
              <w:tc>
                <w:tcPr>
                  <w:tcW w:w="1733" w:type="dxa"/>
                  <w:vMerge w:val="restart"/>
                </w:tcPr>
                <w:p w14:paraId="7C0EC988"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szCs w:val="20"/>
                      <w:lang w:val="en-AU"/>
                    </w:rPr>
                    <w:t>Reporting</w:t>
                  </w:r>
                </w:p>
              </w:tc>
              <w:tc>
                <w:tcPr>
                  <w:tcW w:w="2368" w:type="dxa"/>
                </w:tcPr>
                <w:p w14:paraId="5E5668A1"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Reporting and record keeping requirements for importers/ distributors</w:t>
                  </w:r>
                </w:p>
              </w:tc>
              <w:tc>
                <w:tcPr>
                  <w:tcW w:w="1199" w:type="dxa"/>
                  <w:shd w:val="clear" w:color="auto" w:fill="F2F2F2" w:themeFill="background1" w:themeFillShade="F2"/>
                </w:tcPr>
                <w:p w14:paraId="47181772"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20F460A0"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5EDD54EE" w14:textId="77777777" w:rsidR="008B7142" w:rsidRPr="00210B21" w:rsidRDefault="008B7142" w:rsidP="008B7142">
                  <w:pPr>
                    <w:pStyle w:val="TableTT"/>
                    <w:spacing w:before="0" w:after="60" w:line="259" w:lineRule="auto"/>
                    <w:rPr>
                      <w:rFonts w:cs="Calibri"/>
                      <w:lang w:val="en-AU"/>
                    </w:rPr>
                  </w:pPr>
                </w:p>
              </w:tc>
              <w:tc>
                <w:tcPr>
                  <w:tcW w:w="3966" w:type="dxa"/>
                </w:tcPr>
                <w:p w14:paraId="33F8DD01" w14:textId="3AB2225E" w:rsidR="008B7142" w:rsidRPr="00210B21" w:rsidRDefault="008B7142" w:rsidP="008B7142">
                  <w:pPr>
                    <w:pStyle w:val="TableTT"/>
                    <w:spacing w:before="0" w:after="60" w:line="259" w:lineRule="auto"/>
                    <w:rPr>
                      <w:rFonts w:cs="Calibri"/>
                      <w:lang w:val="en-AU"/>
                    </w:rPr>
                  </w:pPr>
                  <w:r w:rsidRPr="00210B21">
                    <w:rPr>
                      <w:rFonts w:cs="Calibri"/>
                      <w:lang w:val="en-AU"/>
                    </w:rPr>
                    <w:t xml:space="preserve">Importers/distributors can be required to keep records and provide reports to the schemes administrator/s. </w:t>
                  </w:r>
                </w:p>
                <w:p w14:paraId="6D433425" w14:textId="77777777" w:rsidR="008B7142" w:rsidRPr="00210B21" w:rsidRDefault="008B7142" w:rsidP="008B7142">
                  <w:pPr>
                    <w:pStyle w:val="TableTT"/>
                    <w:spacing w:before="0" w:after="60" w:line="259" w:lineRule="auto"/>
                    <w:rPr>
                      <w:rFonts w:cs="Calibri"/>
                      <w:lang w:val="en-AU"/>
                    </w:rPr>
                  </w:pPr>
                  <w:r w:rsidRPr="00210B21">
                    <w:rPr>
                      <w:rFonts w:cs="Calibri"/>
                      <w:lang w:val="en-AU"/>
                    </w:rPr>
                    <w:t>These can assist in auditing purposes.</w:t>
                  </w:r>
                </w:p>
              </w:tc>
            </w:tr>
            <w:tr w:rsidR="008B7142" w:rsidRPr="00210B21" w14:paraId="428A3D94" w14:textId="77777777" w:rsidTr="00D22A17">
              <w:trPr>
                <w:cantSplit/>
              </w:trPr>
              <w:tc>
                <w:tcPr>
                  <w:tcW w:w="1733" w:type="dxa"/>
                  <w:vMerge/>
                </w:tcPr>
                <w:p w14:paraId="67BD5A4A"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663DAE42"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Reporting and record keeping requirements for fund administrator</w:t>
                  </w:r>
                </w:p>
              </w:tc>
              <w:tc>
                <w:tcPr>
                  <w:tcW w:w="1199" w:type="dxa"/>
                  <w:shd w:val="clear" w:color="auto" w:fill="F2F2F2" w:themeFill="background1" w:themeFillShade="F2"/>
                </w:tcPr>
                <w:p w14:paraId="285B880C"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57EEF00F"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3D9149DA" w14:textId="77777777" w:rsidR="008B7142" w:rsidRPr="00210B21" w:rsidRDefault="008B7142" w:rsidP="008B7142">
                  <w:pPr>
                    <w:pStyle w:val="TableTT"/>
                    <w:spacing w:before="0" w:after="60" w:line="259" w:lineRule="auto"/>
                    <w:rPr>
                      <w:rFonts w:cs="Calibri"/>
                      <w:lang w:val="en-AU"/>
                    </w:rPr>
                  </w:pPr>
                </w:p>
              </w:tc>
              <w:tc>
                <w:tcPr>
                  <w:tcW w:w="3966" w:type="dxa"/>
                </w:tcPr>
                <w:p w14:paraId="675310F6" w14:textId="6C1004B3" w:rsidR="008B7142" w:rsidRPr="00210B21" w:rsidRDefault="008B7142" w:rsidP="008B7142">
                  <w:pPr>
                    <w:pStyle w:val="TableTT"/>
                    <w:spacing w:before="0" w:after="60" w:line="259" w:lineRule="auto"/>
                    <w:rPr>
                      <w:rFonts w:cs="Calibri"/>
                      <w:lang w:val="en-AU"/>
                    </w:rPr>
                  </w:pPr>
                  <w:r w:rsidRPr="00210B21">
                    <w:rPr>
                      <w:rFonts w:cs="Calibri"/>
                      <w:lang w:val="en-AU"/>
                    </w:rPr>
                    <w:t>Record keeping and reporting obligations ensure transparency of the scheme.</w:t>
                  </w:r>
                </w:p>
                <w:p w14:paraId="78BE9849" w14:textId="77777777" w:rsidR="008B7142" w:rsidRPr="00210B21" w:rsidRDefault="008B7142" w:rsidP="008B7142">
                  <w:pPr>
                    <w:pStyle w:val="TableTT"/>
                    <w:spacing w:before="0" w:after="60" w:line="259" w:lineRule="auto"/>
                    <w:rPr>
                      <w:rFonts w:cs="Calibri"/>
                      <w:lang w:val="en-AU"/>
                    </w:rPr>
                  </w:pPr>
                  <w:r w:rsidRPr="00210B21">
                    <w:rPr>
                      <w:rFonts w:cs="Calibri"/>
                      <w:lang w:val="en-AU"/>
                    </w:rPr>
                    <w:t>Countries can outline timing of reporting and period for record keeping.</w:t>
                  </w:r>
                </w:p>
                <w:p w14:paraId="42E53071" w14:textId="77777777" w:rsidR="008B7142" w:rsidRPr="00210B21" w:rsidRDefault="008B7142" w:rsidP="008B7142">
                  <w:pPr>
                    <w:pStyle w:val="TableTT"/>
                    <w:spacing w:before="0" w:after="60" w:line="259" w:lineRule="auto"/>
                    <w:rPr>
                      <w:rFonts w:cs="Calibri"/>
                      <w:lang w:val="en-AU"/>
                    </w:rPr>
                  </w:pPr>
                  <w:r w:rsidRPr="00210B21">
                    <w:rPr>
                      <w:rFonts w:cs="Calibri"/>
                      <w:lang w:val="en-AU"/>
                    </w:rPr>
                    <w:t xml:space="preserve">The reports from the service suppliers will inform the fund administrator reporting. </w:t>
                  </w:r>
                </w:p>
                <w:p w14:paraId="6D8025B5" w14:textId="77777777" w:rsidR="008B7142" w:rsidRPr="00210B21" w:rsidRDefault="008B7142" w:rsidP="008B7142">
                  <w:pPr>
                    <w:pStyle w:val="TableTT"/>
                    <w:spacing w:before="0" w:after="60" w:line="259" w:lineRule="auto"/>
                    <w:rPr>
                      <w:rFonts w:cs="Calibri"/>
                      <w:lang w:val="en-AU"/>
                    </w:rPr>
                  </w:pPr>
                  <w:r w:rsidRPr="00210B21">
                    <w:rPr>
                      <w:rFonts w:cs="Calibri"/>
                      <w:lang w:val="en-AU"/>
                    </w:rPr>
                    <w:t>The reporting could assess performance against targets, against GEDSI requirements and income and expenditure for the next financial year.</w:t>
                  </w:r>
                  <w:r w:rsidRPr="00210B21">
                    <w:rPr>
                      <w:rFonts w:cs="Calibri"/>
                      <w:highlight w:val="yellow"/>
                      <w:lang w:val="en-AU"/>
                    </w:rPr>
                    <w:t xml:space="preserve"> </w:t>
                  </w:r>
                </w:p>
                <w:p w14:paraId="6833759B" w14:textId="77777777" w:rsidR="008B7142" w:rsidRPr="00210B21" w:rsidRDefault="008B7142" w:rsidP="008B7142">
                  <w:pPr>
                    <w:pStyle w:val="TableTT"/>
                    <w:spacing w:before="0" w:after="60" w:line="259" w:lineRule="auto"/>
                    <w:rPr>
                      <w:rFonts w:cs="Calibri"/>
                      <w:lang w:val="en-AU"/>
                    </w:rPr>
                  </w:pPr>
                </w:p>
              </w:tc>
            </w:tr>
            <w:tr w:rsidR="008B7142" w:rsidRPr="00210B21" w14:paraId="4C06A99C" w14:textId="77777777" w:rsidTr="00D22A17">
              <w:trPr>
                <w:cantSplit/>
              </w:trPr>
              <w:tc>
                <w:tcPr>
                  <w:tcW w:w="1733" w:type="dxa"/>
                  <w:vMerge/>
                </w:tcPr>
                <w:p w14:paraId="4C69377F"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7B82F014"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Reporting and record keeping requirements for collection depot and logistical services</w:t>
                  </w:r>
                </w:p>
              </w:tc>
              <w:tc>
                <w:tcPr>
                  <w:tcW w:w="1199" w:type="dxa"/>
                  <w:shd w:val="clear" w:color="auto" w:fill="F2F2F2" w:themeFill="background1" w:themeFillShade="F2"/>
                </w:tcPr>
                <w:p w14:paraId="56B56A2F" w14:textId="77777777" w:rsidR="008B7142" w:rsidRPr="00210B21" w:rsidRDefault="008B7142" w:rsidP="008B7142">
                  <w:pPr>
                    <w:pStyle w:val="TableNum"/>
                    <w:spacing w:before="0" w:after="60" w:line="259" w:lineRule="auto"/>
                    <w:ind w:left="0" w:firstLine="0"/>
                    <w:jc w:val="center"/>
                    <w:rPr>
                      <w:rFonts w:ascii="Calibri" w:hAnsi="Calibri" w:cs="Calibri"/>
                      <w:szCs w:val="20"/>
                      <w:lang w:val="en-AU"/>
                    </w:rPr>
                  </w:pPr>
                </w:p>
              </w:tc>
              <w:tc>
                <w:tcPr>
                  <w:tcW w:w="2237" w:type="dxa"/>
                  <w:shd w:val="clear" w:color="auto" w:fill="F2F2F2" w:themeFill="background1" w:themeFillShade="F2"/>
                </w:tcPr>
                <w:p w14:paraId="30E6189B"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2867" w:type="dxa"/>
                  <w:shd w:val="clear" w:color="auto" w:fill="F2F2F2" w:themeFill="background1" w:themeFillShade="F2"/>
                </w:tcPr>
                <w:p w14:paraId="4E27431D"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3966" w:type="dxa"/>
                </w:tcPr>
                <w:p w14:paraId="69413383" w14:textId="09CB0FBC"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The country may specify reporting requirements and record keeping of deposits paid and materials shipped for a specified time.</w:t>
                  </w:r>
                </w:p>
                <w:p w14:paraId="0562195C" w14:textId="77777777"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 xml:space="preserve">The country may identify documentation to support claims for expenses to the contract principal (if contracted) or administrator.  </w:t>
                  </w:r>
                </w:p>
                <w:p w14:paraId="1F73A010" w14:textId="77777777"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Reporting may include performance against targets, against GEDSI requirements and income and expenditure for the next financial year.</w:t>
                  </w:r>
                </w:p>
                <w:p w14:paraId="31D03DC9" w14:textId="77777777"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Reporting forms may be included in regulations under standards.</w:t>
                  </w:r>
                </w:p>
              </w:tc>
            </w:tr>
            <w:tr w:rsidR="008B7142" w:rsidRPr="00210B21" w14:paraId="162070D0" w14:textId="77777777" w:rsidTr="00D22A17">
              <w:trPr>
                <w:cantSplit/>
              </w:trPr>
              <w:tc>
                <w:tcPr>
                  <w:tcW w:w="1733" w:type="dxa"/>
                </w:tcPr>
                <w:p w14:paraId="36A5A7C1" w14:textId="77777777" w:rsidR="008B7142" w:rsidRPr="00210B21" w:rsidRDefault="008B7142" w:rsidP="008B7142">
                  <w:pPr>
                    <w:pStyle w:val="TableNum"/>
                    <w:spacing w:before="0" w:after="60" w:line="259" w:lineRule="auto"/>
                    <w:ind w:left="284"/>
                    <w:rPr>
                      <w:rFonts w:ascii="Calibri" w:hAnsi="Calibri" w:cs="Calibri"/>
                      <w:szCs w:val="20"/>
                      <w:lang w:val="en-AU"/>
                    </w:rPr>
                  </w:pPr>
                  <w:r w:rsidRPr="00210B21">
                    <w:rPr>
                      <w:rFonts w:ascii="Calibri" w:hAnsi="Calibri" w:cs="Calibri"/>
                      <w:bCs/>
                      <w:color w:val="000000"/>
                      <w:szCs w:val="20"/>
                      <w:lang w:val="en-AU" w:eastAsia="en-NZ"/>
                    </w:rPr>
                    <w:lastRenderedPageBreak/>
                    <w:t>Partnerships</w:t>
                  </w:r>
                </w:p>
              </w:tc>
              <w:tc>
                <w:tcPr>
                  <w:tcW w:w="2368" w:type="dxa"/>
                </w:tcPr>
                <w:p w14:paraId="0C21680A"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Explicit provision for partnerships – Public Private Partnerships, partnership with community organisations.</w:t>
                  </w:r>
                </w:p>
              </w:tc>
              <w:tc>
                <w:tcPr>
                  <w:tcW w:w="1199" w:type="dxa"/>
                  <w:shd w:val="clear" w:color="auto" w:fill="F2F2F2" w:themeFill="background1" w:themeFillShade="F2"/>
                </w:tcPr>
                <w:p w14:paraId="02216C16" w14:textId="77777777" w:rsidR="008B7142" w:rsidRPr="00210B21" w:rsidRDefault="008B7142" w:rsidP="008B7142">
                  <w:pPr>
                    <w:pStyle w:val="TableTT"/>
                    <w:spacing w:before="0" w:after="60" w:line="259" w:lineRule="auto"/>
                    <w:jc w:val="center"/>
                    <w:rPr>
                      <w:rFonts w:cs="Calibri"/>
                      <w:lang w:val="en-AU"/>
                    </w:rPr>
                  </w:pPr>
                </w:p>
              </w:tc>
              <w:tc>
                <w:tcPr>
                  <w:tcW w:w="2237" w:type="dxa"/>
                  <w:shd w:val="clear" w:color="auto" w:fill="F2F2F2" w:themeFill="background1" w:themeFillShade="F2"/>
                </w:tcPr>
                <w:p w14:paraId="7C253AE4" w14:textId="77777777" w:rsidR="008B7142" w:rsidRPr="00210B21" w:rsidRDefault="008B7142" w:rsidP="008B7142">
                  <w:pPr>
                    <w:pStyle w:val="TableTT"/>
                    <w:spacing w:before="0" w:after="60" w:line="259" w:lineRule="auto"/>
                    <w:rPr>
                      <w:rFonts w:cs="Calibri"/>
                      <w:lang w:val="en-AU"/>
                    </w:rPr>
                  </w:pPr>
                </w:p>
              </w:tc>
              <w:tc>
                <w:tcPr>
                  <w:tcW w:w="2867" w:type="dxa"/>
                  <w:shd w:val="clear" w:color="auto" w:fill="F2F2F2" w:themeFill="background1" w:themeFillShade="F2"/>
                </w:tcPr>
                <w:p w14:paraId="530E452F" w14:textId="77777777" w:rsidR="008B7142" w:rsidRPr="00210B21" w:rsidRDefault="008B7142" w:rsidP="008B7142">
                  <w:pPr>
                    <w:pStyle w:val="TableTT"/>
                    <w:spacing w:before="0" w:after="60" w:line="259" w:lineRule="auto"/>
                    <w:rPr>
                      <w:rFonts w:cs="Calibri"/>
                      <w:lang w:val="en-AU"/>
                    </w:rPr>
                  </w:pPr>
                </w:p>
              </w:tc>
              <w:tc>
                <w:tcPr>
                  <w:tcW w:w="3966" w:type="dxa"/>
                </w:tcPr>
                <w:p w14:paraId="78A101B3" w14:textId="534682A1" w:rsidR="008B7142" w:rsidRPr="00210B21" w:rsidRDefault="008B7142" w:rsidP="008B7142">
                  <w:pPr>
                    <w:pStyle w:val="TableTT"/>
                    <w:spacing w:before="0" w:after="60" w:line="259" w:lineRule="auto"/>
                    <w:rPr>
                      <w:rFonts w:cs="Calibri"/>
                      <w:lang w:val="en-AU"/>
                    </w:rPr>
                  </w:pPr>
                  <w:r w:rsidRPr="00210B21">
                    <w:rPr>
                      <w:rFonts w:cs="Calibri"/>
                      <w:lang w:val="en-AU"/>
                    </w:rPr>
                    <w:t xml:space="preserve">Legislation can provide formal guidance for roles and responsibilities for partnerships.  Partnerships could be provided for in Memorandums of Understanding, outlining the role of the involved organisations, such as with Customs.  Provisions should keep possibilities open for non-government organisations to be included in partnerships.  </w:t>
                  </w:r>
                </w:p>
              </w:tc>
            </w:tr>
            <w:tr w:rsidR="008B7142" w:rsidRPr="00210B21" w14:paraId="546DBEEE" w14:textId="77777777" w:rsidTr="00D22A17">
              <w:trPr>
                <w:cantSplit/>
              </w:trPr>
              <w:tc>
                <w:tcPr>
                  <w:tcW w:w="1733" w:type="dxa"/>
                  <w:vMerge w:val="restart"/>
                </w:tcPr>
                <w:p w14:paraId="75949E19" w14:textId="77777777"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Start-up funding</w:t>
                  </w:r>
                </w:p>
              </w:tc>
              <w:tc>
                <w:tcPr>
                  <w:tcW w:w="2368" w:type="dxa"/>
                </w:tcPr>
                <w:p w14:paraId="61820A4F"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Building up funding from fees before starting to pay out deposits.</w:t>
                  </w:r>
                </w:p>
              </w:tc>
              <w:tc>
                <w:tcPr>
                  <w:tcW w:w="1199" w:type="dxa"/>
                  <w:shd w:val="clear" w:color="auto" w:fill="F2F2F2" w:themeFill="background1" w:themeFillShade="F2"/>
                </w:tcPr>
                <w:p w14:paraId="3A63B78E" w14:textId="77777777" w:rsidR="008B7142" w:rsidRPr="00210B21" w:rsidRDefault="008B7142" w:rsidP="008B7142">
                  <w:pPr>
                    <w:pStyle w:val="TableNum"/>
                    <w:spacing w:before="0" w:after="60" w:line="259" w:lineRule="auto"/>
                    <w:ind w:left="0" w:firstLine="0"/>
                    <w:jc w:val="center"/>
                    <w:rPr>
                      <w:rFonts w:ascii="Calibri" w:hAnsi="Calibri" w:cs="Calibri"/>
                      <w:szCs w:val="20"/>
                      <w:lang w:val="en-AU"/>
                    </w:rPr>
                  </w:pPr>
                </w:p>
              </w:tc>
              <w:tc>
                <w:tcPr>
                  <w:tcW w:w="2237" w:type="dxa"/>
                  <w:shd w:val="clear" w:color="auto" w:fill="F2F2F2" w:themeFill="background1" w:themeFillShade="F2"/>
                </w:tcPr>
                <w:p w14:paraId="35407D6F"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2867" w:type="dxa"/>
                  <w:shd w:val="clear" w:color="auto" w:fill="F2F2F2" w:themeFill="background1" w:themeFillShade="F2"/>
                </w:tcPr>
                <w:p w14:paraId="232CB83A" w14:textId="77777777" w:rsidR="008B7142" w:rsidRPr="00210B21" w:rsidRDefault="008B7142" w:rsidP="008B7142">
                  <w:pPr>
                    <w:pStyle w:val="TableNum"/>
                    <w:spacing w:before="0" w:after="60" w:line="259" w:lineRule="auto"/>
                    <w:ind w:left="0" w:firstLine="0"/>
                    <w:rPr>
                      <w:rFonts w:ascii="Calibri" w:hAnsi="Calibri" w:cs="Calibri"/>
                      <w:szCs w:val="20"/>
                      <w:lang w:val="en-AU"/>
                    </w:rPr>
                  </w:pPr>
                </w:p>
              </w:tc>
              <w:tc>
                <w:tcPr>
                  <w:tcW w:w="3966" w:type="dxa"/>
                  <w:vMerge w:val="restart"/>
                </w:tcPr>
                <w:p w14:paraId="54D261D3" w14:textId="65810F16" w:rsidR="008B7142" w:rsidRPr="00210B21" w:rsidRDefault="008B7142" w:rsidP="008B7142">
                  <w:pPr>
                    <w:pStyle w:val="TableNum"/>
                    <w:spacing w:before="0" w:after="60" w:line="259" w:lineRule="auto"/>
                    <w:ind w:left="0" w:firstLine="0"/>
                    <w:rPr>
                      <w:rFonts w:ascii="Calibri" w:hAnsi="Calibri" w:cs="Calibri"/>
                      <w:szCs w:val="20"/>
                      <w:lang w:val="en-AU"/>
                    </w:rPr>
                  </w:pPr>
                  <w:r w:rsidRPr="00210B21">
                    <w:rPr>
                      <w:rFonts w:ascii="Calibri" w:hAnsi="Calibri" w:cs="Calibri"/>
                      <w:szCs w:val="20"/>
                      <w:lang w:val="en-AU"/>
                    </w:rPr>
                    <w:t>The country may need to build up ARFD to develop funding allocation for certain purposes such as those specified in 32, 33 and 34.  Some countries have done this by delaying the payment of Deposits to consumers for a specified period (usually not less than six months) in order to generate enough seeding money. It could also be possible for the government to allocate a start-up fund from internal or external (donor or development partner) sources. These details can be provided in the legislation.</w:t>
                  </w:r>
                </w:p>
              </w:tc>
            </w:tr>
            <w:tr w:rsidR="008B7142" w:rsidRPr="00210B21" w14:paraId="14FF4785" w14:textId="77777777" w:rsidTr="00D22A17">
              <w:trPr>
                <w:cantSplit/>
              </w:trPr>
              <w:tc>
                <w:tcPr>
                  <w:tcW w:w="1733" w:type="dxa"/>
                  <w:vMerge/>
                </w:tcPr>
                <w:p w14:paraId="11428C2D"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41085A69"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Funding for establishing administration and management systems and capability.</w:t>
                  </w:r>
                </w:p>
              </w:tc>
              <w:tc>
                <w:tcPr>
                  <w:tcW w:w="1199" w:type="dxa"/>
                  <w:shd w:val="clear" w:color="auto" w:fill="F2F2F2" w:themeFill="background1" w:themeFillShade="F2"/>
                </w:tcPr>
                <w:p w14:paraId="08448276" w14:textId="77777777" w:rsidR="008B7142" w:rsidRPr="00210B21" w:rsidRDefault="008B7142" w:rsidP="008B7142">
                  <w:pPr>
                    <w:pStyle w:val="TableNum"/>
                    <w:spacing w:before="0" w:after="60" w:line="259" w:lineRule="auto"/>
                    <w:ind w:left="284"/>
                    <w:jc w:val="center"/>
                    <w:rPr>
                      <w:rFonts w:ascii="Calibri" w:hAnsi="Calibri" w:cs="Calibri"/>
                      <w:szCs w:val="20"/>
                      <w:lang w:val="en-AU"/>
                    </w:rPr>
                  </w:pPr>
                </w:p>
              </w:tc>
              <w:tc>
                <w:tcPr>
                  <w:tcW w:w="2237" w:type="dxa"/>
                  <w:shd w:val="clear" w:color="auto" w:fill="F2F2F2" w:themeFill="background1" w:themeFillShade="F2"/>
                </w:tcPr>
                <w:p w14:paraId="7FF1DDE8"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867" w:type="dxa"/>
                  <w:shd w:val="clear" w:color="auto" w:fill="F2F2F2" w:themeFill="background1" w:themeFillShade="F2"/>
                </w:tcPr>
                <w:p w14:paraId="0DD81D4E"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3966" w:type="dxa"/>
                  <w:vMerge/>
                </w:tcPr>
                <w:p w14:paraId="78815398" w14:textId="05A45EDE" w:rsidR="008B7142" w:rsidRPr="00210B21" w:rsidRDefault="008B7142" w:rsidP="008B7142">
                  <w:pPr>
                    <w:pStyle w:val="TableNum"/>
                    <w:spacing w:before="0" w:after="60" w:line="259" w:lineRule="auto"/>
                    <w:ind w:left="284"/>
                    <w:rPr>
                      <w:rFonts w:ascii="Calibri" w:hAnsi="Calibri" w:cs="Calibri"/>
                      <w:szCs w:val="20"/>
                      <w:lang w:val="en-AU"/>
                    </w:rPr>
                  </w:pPr>
                </w:p>
              </w:tc>
            </w:tr>
            <w:tr w:rsidR="008B7142" w:rsidRPr="00210B21" w14:paraId="413CF780" w14:textId="77777777" w:rsidTr="00D22A17">
              <w:trPr>
                <w:cantSplit/>
              </w:trPr>
              <w:tc>
                <w:tcPr>
                  <w:tcW w:w="1733" w:type="dxa"/>
                  <w:vMerge/>
                </w:tcPr>
                <w:p w14:paraId="20677C01"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3D0CFF2A"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Funding for addressing legacy items.</w:t>
                  </w:r>
                </w:p>
              </w:tc>
              <w:tc>
                <w:tcPr>
                  <w:tcW w:w="1199" w:type="dxa"/>
                  <w:shd w:val="clear" w:color="auto" w:fill="F2F2F2" w:themeFill="background1" w:themeFillShade="F2"/>
                </w:tcPr>
                <w:p w14:paraId="07962C18" w14:textId="77777777" w:rsidR="008B7142" w:rsidRPr="00210B21" w:rsidRDefault="008B7142" w:rsidP="008B7142">
                  <w:pPr>
                    <w:pStyle w:val="TableNum"/>
                    <w:spacing w:before="0" w:after="60" w:line="259" w:lineRule="auto"/>
                    <w:ind w:left="284"/>
                    <w:jc w:val="center"/>
                    <w:rPr>
                      <w:rFonts w:ascii="Calibri" w:hAnsi="Calibri" w:cs="Calibri"/>
                      <w:szCs w:val="20"/>
                      <w:lang w:val="en-AU"/>
                    </w:rPr>
                  </w:pPr>
                </w:p>
              </w:tc>
              <w:tc>
                <w:tcPr>
                  <w:tcW w:w="2237" w:type="dxa"/>
                  <w:shd w:val="clear" w:color="auto" w:fill="F2F2F2" w:themeFill="background1" w:themeFillShade="F2"/>
                </w:tcPr>
                <w:p w14:paraId="79B84A57"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867" w:type="dxa"/>
                  <w:shd w:val="clear" w:color="auto" w:fill="F2F2F2" w:themeFill="background1" w:themeFillShade="F2"/>
                </w:tcPr>
                <w:p w14:paraId="1F9B4734"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3966" w:type="dxa"/>
                  <w:vMerge/>
                </w:tcPr>
                <w:p w14:paraId="36A5CF11" w14:textId="36E8E4B8" w:rsidR="008B7142" w:rsidRPr="00210B21" w:rsidRDefault="008B7142" w:rsidP="008B7142">
                  <w:pPr>
                    <w:pStyle w:val="TableNum"/>
                    <w:spacing w:before="0" w:after="60" w:line="259" w:lineRule="auto"/>
                    <w:ind w:left="284"/>
                    <w:rPr>
                      <w:rFonts w:ascii="Calibri" w:hAnsi="Calibri" w:cs="Calibri"/>
                      <w:szCs w:val="20"/>
                      <w:lang w:val="en-AU"/>
                    </w:rPr>
                  </w:pPr>
                </w:p>
              </w:tc>
            </w:tr>
            <w:tr w:rsidR="008B7142" w:rsidRPr="00210B21" w14:paraId="75B88164" w14:textId="77777777" w:rsidTr="00D22A17">
              <w:trPr>
                <w:cantSplit/>
              </w:trPr>
              <w:tc>
                <w:tcPr>
                  <w:tcW w:w="1733" w:type="dxa"/>
                  <w:vMerge/>
                </w:tcPr>
                <w:p w14:paraId="5AEFBE51"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368" w:type="dxa"/>
                </w:tcPr>
                <w:p w14:paraId="3A651AF1" w14:textId="77777777" w:rsidR="008B7142" w:rsidRPr="00E55AA8" w:rsidRDefault="008B7142" w:rsidP="008B7142">
                  <w:pPr>
                    <w:pStyle w:val="TableNum"/>
                    <w:numPr>
                      <w:ilvl w:val="0"/>
                      <w:numId w:val="127"/>
                    </w:numPr>
                    <w:spacing w:before="0" w:after="60" w:line="259" w:lineRule="auto"/>
                    <w:rPr>
                      <w:rFonts w:ascii="Calibri" w:hAnsi="Calibri" w:cs="Calibri"/>
                      <w:szCs w:val="20"/>
                      <w:lang w:val="en-AU"/>
                    </w:rPr>
                  </w:pPr>
                  <w:r w:rsidRPr="00E55AA8">
                    <w:rPr>
                      <w:rFonts w:ascii="Calibri" w:hAnsi="Calibri" w:cs="Calibri"/>
                      <w:szCs w:val="20"/>
                      <w:lang w:val="en-AU"/>
                    </w:rPr>
                    <w:t>Funding for establishing depots (for material returns) and processing equipment</w:t>
                  </w:r>
                </w:p>
              </w:tc>
              <w:tc>
                <w:tcPr>
                  <w:tcW w:w="1199" w:type="dxa"/>
                  <w:shd w:val="clear" w:color="auto" w:fill="F2F2F2" w:themeFill="background1" w:themeFillShade="F2"/>
                </w:tcPr>
                <w:p w14:paraId="00F1CBC2" w14:textId="77777777" w:rsidR="008B7142" w:rsidRPr="00210B21" w:rsidRDefault="008B7142" w:rsidP="008B7142">
                  <w:pPr>
                    <w:pStyle w:val="TableNum"/>
                    <w:spacing w:before="0" w:after="60" w:line="259" w:lineRule="auto"/>
                    <w:ind w:left="284"/>
                    <w:jc w:val="center"/>
                    <w:rPr>
                      <w:rFonts w:ascii="Calibri" w:hAnsi="Calibri" w:cs="Calibri"/>
                      <w:szCs w:val="20"/>
                      <w:lang w:val="en-AU"/>
                    </w:rPr>
                  </w:pPr>
                </w:p>
              </w:tc>
              <w:tc>
                <w:tcPr>
                  <w:tcW w:w="2237" w:type="dxa"/>
                  <w:shd w:val="clear" w:color="auto" w:fill="F2F2F2" w:themeFill="background1" w:themeFillShade="F2"/>
                </w:tcPr>
                <w:p w14:paraId="279BB254"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2867" w:type="dxa"/>
                  <w:shd w:val="clear" w:color="auto" w:fill="F2F2F2" w:themeFill="background1" w:themeFillShade="F2"/>
                </w:tcPr>
                <w:p w14:paraId="6CFA85C3" w14:textId="77777777" w:rsidR="008B7142" w:rsidRPr="00210B21" w:rsidRDefault="008B7142" w:rsidP="008B7142">
                  <w:pPr>
                    <w:pStyle w:val="TableNum"/>
                    <w:spacing w:before="0" w:after="60" w:line="259" w:lineRule="auto"/>
                    <w:ind w:left="284"/>
                    <w:rPr>
                      <w:rFonts w:ascii="Calibri" w:hAnsi="Calibri" w:cs="Calibri"/>
                      <w:szCs w:val="20"/>
                      <w:lang w:val="en-AU"/>
                    </w:rPr>
                  </w:pPr>
                </w:p>
              </w:tc>
              <w:tc>
                <w:tcPr>
                  <w:tcW w:w="3966" w:type="dxa"/>
                  <w:vMerge/>
                </w:tcPr>
                <w:p w14:paraId="53C77082" w14:textId="23075FFF" w:rsidR="008B7142" w:rsidRPr="00210B21" w:rsidRDefault="008B7142" w:rsidP="008B7142">
                  <w:pPr>
                    <w:pStyle w:val="TableNum"/>
                    <w:spacing w:before="0" w:after="60" w:line="259" w:lineRule="auto"/>
                    <w:ind w:left="284"/>
                    <w:rPr>
                      <w:rFonts w:ascii="Calibri" w:hAnsi="Calibri" w:cs="Calibri"/>
                      <w:szCs w:val="20"/>
                      <w:lang w:val="en-AU"/>
                    </w:rPr>
                  </w:pPr>
                </w:p>
              </w:tc>
            </w:tr>
            <w:bookmarkEnd w:id="11"/>
          </w:tbl>
          <w:p w14:paraId="549A14A7" w14:textId="77777777" w:rsidR="008B7142" w:rsidRPr="00210B21" w:rsidRDefault="008B7142" w:rsidP="008B7142">
            <w:pPr>
              <w:spacing w:after="60" w:line="259" w:lineRule="auto"/>
              <w:rPr>
                <w:rFonts w:ascii="Calibri" w:hAnsi="Calibri" w:cs="Calibri"/>
                <w:sz w:val="20"/>
                <w:szCs w:val="20"/>
                <w:highlight w:val="yellow"/>
                <w:lang w:val="en-AU"/>
              </w:rPr>
            </w:pPr>
          </w:p>
          <w:p w14:paraId="325BCFD4" w14:textId="77777777" w:rsidR="008B7142" w:rsidRPr="00210B21" w:rsidRDefault="008B7142" w:rsidP="008B7142">
            <w:pPr>
              <w:spacing w:after="60" w:line="259" w:lineRule="auto"/>
              <w:rPr>
                <w:rFonts w:ascii="Calibri" w:hAnsi="Calibri" w:cs="Calibri"/>
                <w:sz w:val="20"/>
                <w:szCs w:val="20"/>
                <w:highlight w:val="yellow"/>
                <w:lang w:val="en-AU"/>
              </w:rPr>
            </w:pPr>
          </w:p>
          <w:p w14:paraId="16AEB902" w14:textId="77777777" w:rsidR="008B7142" w:rsidRPr="00210B21" w:rsidRDefault="008B7142" w:rsidP="008B7142">
            <w:pPr>
              <w:spacing w:after="60" w:line="259" w:lineRule="auto"/>
              <w:rPr>
                <w:rFonts w:ascii="Calibri" w:hAnsi="Calibri" w:cs="Calibri"/>
                <w:sz w:val="20"/>
                <w:szCs w:val="20"/>
                <w:highlight w:val="yellow"/>
                <w:lang w:val="en-AU"/>
              </w:rPr>
            </w:pPr>
          </w:p>
          <w:p w14:paraId="623CBABA" w14:textId="3487A32A" w:rsidR="008B7142" w:rsidRPr="00210B21" w:rsidRDefault="008B7142" w:rsidP="008B7142">
            <w:pPr>
              <w:spacing w:after="60" w:line="259" w:lineRule="auto"/>
              <w:rPr>
                <w:rFonts w:ascii="Calibri" w:hAnsi="Calibri" w:cs="Calibri"/>
                <w:sz w:val="20"/>
                <w:szCs w:val="20"/>
                <w:highlight w:val="yellow"/>
                <w:lang w:val="en-AU"/>
              </w:rPr>
            </w:pPr>
          </w:p>
        </w:tc>
      </w:tr>
      <w:tr w:rsidR="008B7142" w:rsidRPr="00A83A43" w14:paraId="52B1EE00" w14:textId="77777777" w:rsidTr="00493DCC">
        <w:tc>
          <w:tcPr>
            <w:tcW w:w="2374" w:type="dxa"/>
            <w:shd w:val="clear" w:color="auto" w:fill="FBE4D5" w:themeFill="accent2" w:themeFillTint="33"/>
          </w:tcPr>
          <w:p w14:paraId="3110F2BF" w14:textId="643A203F" w:rsidR="008B7142" w:rsidRPr="00271961" w:rsidRDefault="008B7142" w:rsidP="00271961">
            <w:pPr>
              <w:pStyle w:val="ListParagraph"/>
              <w:numPr>
                <w:ilvl w:val="0"/>
                <w:numId w:val="30"/>
              </w:numPr>
              <w:spacing w:after="60" w:line="259" w:lineRule="auto"/>
              <w:ind w:left="590" w:hanging="567"/>
              <w:rPr>
                <w:rFonts w:ascii="Calibri" w:hAnsi="Calibri" w:cs="Calibri"/>
                <w:sz w:val="20"/>
                <w:szCs w:val="20"/>
                <w:lang w:val="en-AU"/>
              </w:rPr>
            </w:pPr>
            <w:r w:rsidRPr="00271961">
              <w:rPr>
                <w:rFonts w:ascii="Calibri" w:hAnsi="Calibri" w:cs="Calibri"/>
                <w:sz w:val="20"/>
                <w:szCs w:val="20"/>
                <w:lang w:val="en-AU"/>
              </w:rPr>
              <w:lastRenderedPageBreak/>
              <w:t xml:space="preserve">Where </w:t>
            </w:r>
            <w:r w:rsidR="00271961">
              <w:rPr>
                <w:rFonts w:ascii="Calibri" w:hAnsi="Calibri" w:cs="Calibri"/>
                <w:sz w:val="20"/>
                <w:szCs w:val="20"/>
                <w:lang w:val="en-AU"/>
              </w:rPr>
              <w:t>L</w:t>
            </w:r>
            <w:r w:rsidRPr="00271961">
              <w:rPr>
                <w:rFonts w:ascii="Calibri" w:hAnsi="Calibri" w:cs="Calibri"/>
                <w:sz w:val="20"/>
                <w:szCs w:val="20"/>
                <w:lang w:val="en-AU"/>
              </w:rPr>
              <w:t xml:space="preserve">egislation </w:t>
            </w:r>
            <w:r w:rsidR="00271961">
              <w:rPr>
                <w:rFonts w:ascii="Calibri" w:hAnsi="Calibri" w:cs="Calibri"/>
                <w:sz w:val="20"/>
                <w:szCs w:val="20"/>
                <w:lang w:val="en-AU"/>
              </w:rPr>
              <w:t>F</w:t>
            </w:r>
            <w:r w:rsidRPr="00271961">
              <w:rPr>
                <w:rFonts w:ascii="Calibri" w:hAnsi="Calibri" w:cs="Calibri"/>
                <w:sz w:val="20"/>
                <w:szCs w:val="20"/>
                <w:lang w:val="en-AU"/>
              </w:rPr>
              <w:t>it</w:t>
            </w:r>
            <w:r w:rsidR="00271961">
              <w:rPr>
                <w:rFonts w:ascii="Calibri" w:hAnsi="Calibri" w:cs="Calibri"/>
                <w:sz w:val="20"/>
                <w:szCs w:val="20"/>
                <w:lang w:val="en-AU"/>
              </w:rPr>
              <w:t>s</w:t>
            </w:r>
            <w:r w:rsidRPr="00271961">
              <w:rPr>
                <w:rFonts w:ascii="Calibri" w:hAnsi="Calibri" w:cs="Calibri"/>
                <w:sz w:val="20"/>
                <w:szCs w:val="20"/>
                <w:lang w:val="en-AU"/>
              </w:rPr>
              <w:t xml:space="preserve"> in</w:t>
            </w:r>
            <w:r w:rsidR="00271961">
              <w:rPr>
                <w:rFonts w:ascii="Calibri" w:hAnsi="Calibri" w:cs="Calibri"/>
                <w:sz w:val="20"/>
                <w:szCs w:val="20"/>
                <w:lang w:val="en-AU"/>
              </w:rPr>
              <w:t xml:space="preserve"> E</w:t>
            </w:r>
            <w:r w:rsidRPr="00271961">
              <w:rPr>
                <w:rFonts w:ascii="Calibri" w:hAnsi="Calibri" w:cs="Calibri"/>
                <w:sz w:val="20"/>
                <w:szCs w:val="20"/>
                <w:lang w:val="en-AU"/>
              </w:rPr>
              <w:t xml:space="preserve">xisting </w:t>
            </w:r>
            <w:r w:rsidR="00271961">
              <w:rPr>
                <w:rFonts w:ascii="Calibri" w:hAnsi="Calibri" w:cs="Calibri"/>
                <w:sz w:val="20"/>
                <w:szCs w:val="20"/>
                <w:lang w:val="en-AU"/>
              </w:rPr>
              <w:t>L</w:t>
            </w:r>
            <w:r w:rsidRPr="00271961">
              <w:rPr>
                <w:rFonts w:ascii="Calibri" w:hAnsi="Calibri" w:cs="Calibri"/>
                <w:sz w:val="20"/>
                <w:szCs w:val="20"/>
                <w:lang w:val="en-AU"/>
              </w:rPr>
              <w:t xml:space="preserve">egal </w:t>
            </w:r>
            <w:r w:rsidR="00271961">
              <w:rPr>
                <w:rFonts w:ascii="Calibri" w:hAnsi="Calibri" w:cs="Calibri"/>
                <w:sz w:val="20"/>
                <w:szCs w:val="20"/>
                <w:lang w:val="en-AU"/>
              </w:rPr>
              <w:t>E</w:t>
            </w:r>
            <w:r w:rsidRPr="00271961">
              <w:rPr>
                <w:rFonts w:ascii="Calibri" w:hAnsi="Calibri" w:cs="Calibri"/>
                <w:sz w:val="20"/>
                <w:szCs w:val="20"/>
                <w:lang w:val="en-AU"/>
              </w:rPr>
              <w:t>nvironment</w:t>
            </w:r>
          </w:p>
        </w:tc>
        <w:tc>
          <w:tcPr>
            <w:tcW w:w="12222" w:type="dxa"/>
            <w:gridSpan w:val="5"/>
          </w:tcPr>
          <w:p w14:paraId="723D61B9" w14:textId="0F1C5805" w:rsidR="008B7142" w:rsidRPr="00210B21" w:rsidRDefault="008B7142" w:rsidP="008B7142">
            <w:pPr>
              <w:spacing w:after="60" w:line="259" w:lineRule="auto"/>
              <w:rPr>
                <w:rFonts w:ascii="Calibri" w:hAnsi="Calibri" w:cs="Calibri"/>
                <w:sz w:val="20"/>
                <w:szCs w:val="20"/>
                <w:lang w:val="en-AU"/>
              </w:rPr>
            </w:pPr>
            <w:r w:rsidRPr="00A83A43">
              <w:rPr>
                <w:rFonts w:ascii="Calibri" w:hAnsi="Calibri" w:cs="Calibri"/>
                <w:sz w:val="20"/>
                <w:szCs w:val="20"/>
                <w:lang w:val="en-AU"/>
              </w:rPr>
              <w:t xml:space="preserve">Legal / Justice team </w:t>
            </w:r>
            <w:r>
              <w:rPr>
                <w:rFonts w:ascii="Calibri" w:hAnsi="Calibri" w:cs="Calibri"/>
                <w:sz w:val="20"/>
                <w:szCs w:val="20"/>
                <w:lang w:val="en-AU"/>
              </w:rPr>
              <w:t>are recommended to summaris</w:t>
            </w:r>
            <w:r w:rsidR="00E84811">
              <w:rPr>
                <w:rFonts w:ascii="Calibri" w:hAnsi="Calibri" w:cs="Calibri"/>
                <w:sz w:val="20"/>
                <w:szCs w:val="20"/>
                <w:lang w:val="en-AU"/>
              </w:rPr>
              <w:t>e</w:t>
            </w:r>
            <w:r>
              <w:rPr>
                <w:rFonts w:ascii="Calibri" w:hAnsi="Calibri" w:cs="Calibri"/>
                <w:sz w:val="20"/>
                <w:szCs w:val="20"/>
                <w:lang w:val="en-AU"/>
              </w:rPr>
              <w:t xml:space="preserve"> the legal instruments </w:t>
            </w:r>
            <w:r w:rsidRPr="00E55AA8">
              <w:rPr>
                <w:rFonts w:ascii="Calibri" w:hAnsi="Calibri" w:cs="Calibri"/>
                <w:sz w:val="20"/>
                <w:szCs w:val="20"/>
                <w:lang w:val="en-AU"/>
              </w:rPr>
              <w:t xml:space="preserve">identified </w:t>
            </w:r>
            <w:r>
              <w:rPr>
                <w:rFonts w:ascii="Calibri" w:hAnsi="Calibri" w:cs="Calibri"/>
                <w:sz w:val="20"/>
                <w:szCs w:val="20"/>
                <w:lang w:val="en-AU"/>
              </w:rPr>
              <w:t>to for scheme operation:</w:t>
            </w:r>
          </w:p>
          <w:tbl>
            <w:tblPr>
              <w:tblStyle w:val="TableGrid"/>
              <w:tblW w:w="0" w:type="auto"/>
              <w:tblLook w:val="04A0" w:firstRow="1" w:lastRow="0" w:firstColumn="1" w:lastColumn="0" w:noHBand="0" w:noVBand="1"/>
            </w:tblPr>
            <w:tblGrid>
              <w:gridCol w:w="2241"/>
              <w:gridCol w:w="9158"/>
            </w:tblGrid>
            <w:tr w:rsidR="00D63B26" w:rsidRPr="00210B21" w14:paraId="45C2F76B" w14:textId="77777777" w:rsidTr="00493DCC">
              <w:tc>
                <w:tcPr>
                  <w:tcW w:w="2241" w:type="dxa"/>
                </w:tcPr>
                <w:p w14:paraId="37DAFC54" w14:textId="44096C18" w:rsidR="00D63B26" w:rsidRPr="00D63B26" w:rsidRDefault="00D63B26" w:rsidP="00D63B26">
                  <w:pPr>
                    <w:spacing w:after="60" w:line="259" w:lineRule="auto"/>
                    <w:rPr>
                      <w:rFonts w:ascii="Calibri" w:hAnsi="Calibri" w:cs="Calibri"/>
                      <w:sz w:val="20"/>
                      <w:szCs w:val="20"/>
                      <w:lang w:val="en-AU"/>
                    </w:rPr>
                  </w:pPr>
                  <w:r>
                    <w:rPr>
                      <w:rFonts w:ascii="Calibri" w:hAnsi="Calibri" w:cs="Calibri"/>
                      <w:b/>
                      <w:bCs/>
                      <w:sz w:val="20"/>
                      <w:szCs w:val="20"/>
                      <w:lang w:val="en-AU"/>
                    </w:rPr>
                    <w:t>Instrument Type</w:t>
                  </w:r>
                </w:p>
              </w:tc>
              <w:tc>
                <w:tcPr>
                  <w:tcW w:w="9158" w:type="dxa"/>
                </w:tcPr>
                <w:p w14:paraId="670F01BF" w14:textId="795EDE88" w:rsidR="00D63B26" w:rsidRPr="00210B21" w:rsidRDefault="00D63B26" w:rsidP="00D63B26">
                  <w:pPr>
                    <w:spacing w:after="60" w:line="259" w:lineRule="auto"/>
                    <w:rPr>
                      <w:rFonts w:ascii="Calibri" w:hAnsi="Calibri" w:cs="Calibri"/>
                      <w:b/>
                      <w:bCs/>
                      <w:sz w:val="20"/>
                      <w:szCs w:val="20"/>
                      <w:lang w:val="en-AU"/>
                    </w:rPr>
                  </w:pPr>
                  <w:r>
                    <w:rPr>
                      <w:rFonts w:ascii="Calibri" w:hAnsi="Calibri" w:cs="Calibri"/>
                      <w:b/>
                      <w:bCs/>
                      <w:sz w:val="20"/>
                      <w:szCs w:val="20"/>
                      <w:lang w:val="en-AU"/>
                    </w:rPr>
                    <w:t>Instrument Name and Purpose</w:t>
                  </w:r>
                </w:p>
              </w:tc>
            </w:tr>
            <w:tr w:rsidR="00D63B26" w:rsidRPr="00210B21" w14:paraId="6935848E" w14:textId="77777777" w:rsidTr="00493DCC">
              <w:tc>
                <w:tcPr>
                  <w:tcW w:w="2241" w:type="dxa"/>
                </w:tcPr>
                <w:p w14:paraId="639AA773" w14:textId="715A593E" w:rsidR="00D63B26" w:rsidRPr="00D63B26" w:rsidRDefault="00D63B26" w:rsidP="00D63B26">
                  <w:pPr>
                    <w:spacing w:after="60" w:line="259" w:lineRule="auto"/>
                    <w:rPr>
                      <w:rFonts w:ascii="Calibri" w:hAnsi="Calibri" w:cs="Calibri"/>
                      <w:sz w:val="20"/>
                      <w:szCs w:val="20"/>
                      <w:lang w:val="en-AU"/>
                    </w:rPr>
                  </w:pPr>
                  <w:r w:rsidRPr="00D63B26">
                    <w:rPr>
                      <w:rFonts w:ascii="Calibri" w:hAnsi="Calibri" w:cs="Calibri"/>
                      <w:sz w:val="20"/>
                      <w:szCs w:val="20"/>
                      <w:lang w:val="en-AU"/>
                    </w:rPr>
                    <w:t>Legislation</w:t>
                  </w:r>
                </w:p>
              </w:tc>
              <w:tc>
                <w:tcPr>
                  <w:tcW w:w="9158" w:type="dxa"/>
                </w:tcPr>
                <w:p w14:paraId="3F16CFFA"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4AF39855" w14:textId="77777777" w:rsidTr="00493DCC">
              <w:tc>
                <w:tcPr>
                  <w:tcW w:w="2241" w:type="dxa"/>
                </w:tcPr>
                <w:p w14:paraId="452B3A84" w14:textId="77777777" w:rsidR="00D63B26" w:rsidRPr="00D63B26" w:rsidRDefault="00D63B26" w:rsidP="00D63B26">
                  <w:pPr>
                    <w:spacing w:after="60" w:line="259" w:lineRule="auto"/>
                    <w:rPr>
                      <w:rFonts w:ascii="Calibri" w:hAnsi="Calibri" w:cs="Calibri"/>
                      <w:sz w:val="20"/>
                      <w:szCs w:val="20"/>
                      <w:lang w:val="en-AU"/>
                    </w:rPr>
                  </w:pPr>
                  <w:r w:rsidRPr="00D63B26">
                    <w:rPr>
                      <w:rFonts w:ascii="Calibri" w:hAnsi="Calibri" w:cs="Calibri"/>
                      <w:sz w:val="20"/>
                      <w:szCs w:val="20"/>
                      <w:lang w:val="en-AU"/>
                    </w:rPr>
                    <w:t xml:space="preserve">Regulation </w:t>
                  </w:r>
                </w:p>
              </w:tc>
              <w:tc>
                <w:tcPr>
                  <w:tcW w:w="9158" w:type="dxa"/>
                </w:tcPr>
                <w:p w14:paraId="2670A841"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44CC35C1" w14:textId="77777777" w:rsidTr="00493DCC">
              <w:tc>
                <w:tcPr>
                  <w:tcW w:w="2241" w:type="dxa"/>
                </w:tcPr>
                <w:p w14:paraId="7E27E318" w14:textId="77777777" w:rsidR="00D63B26" w:rsidRPr="00D63B26" w:rsidRDefault="00D63B26" w:rsidP="00D63B26">
                  <w:pPr>
                    <w:spacing w:after="60" w:line="259" w:lineRule="auto"/>
                    <w:rPr>
                      <w:rFonts w:ascii="Calibri" w:hAnsi="Calibri" w:cs="Calibri"/>
                      <w:sz w:val="20"/>
                      <w:szCs w:val="20"/>
                      <w:lang w:val="en-AU"/>
                    </w:rPr>
                  </w:pPr>
                  <w:r w:rsidRPr="00D63B26">
                    <w:rPr>
                      <w:rFonts w:ascii="Calibri" w:hAnsi="Calibri" w:cs="Calibri"/>
                      <w:sz w:val="20"/>
                      <w:szCs w:val="20"/>
                      <w:lang w:val="en-AU"/>
                    </w:rPr>
                    <w:t>Schedule</w:t>
                  </w:r>
                </w:p>
              </w:tc>
              <w:tc>
                <w:tcPr>
                  <w:tcW w:w="9158" w:type="dxa"/>
                </w:tcPr>
                <w:p w14:paraId="5B401756"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10552C4F" w14:textId="77777777" w:rsidTr="00493DCC">
              <w:tc>
                <w:tcPr>
                  <w:tcW w:w="2241" w:type="dxa"/>
                  <w:vMerge w:val="restart"/>
                </w:tcPr>
                <w:p w14:paraId="6936FC16" w14:textId="77777777" w:rsidR="00D63B26" w:rsidRPr="00D63B26" w:rsidRDefault="00D63B26" w:rsidP="00D63B26">
                  <w:pPr>
                    <w:spacing w:after="60" w:line="259" w:lineRule="auto"/>
                    <w:rPr>
                      <w:rFonts w:ascii="Calibri" w:hAnsi="Calibri" w:cs="Calibri"/>
                      <w:sz w:val="20"/>
                      <w:szCs w:val="20"/>
                      <w:lang w:val="en-AU"/>
                    </w:rPr>
                  </w:pPr>
                  <w:r w:rsidRPr="00D63B26">
                    <w:rPr>
                      <w:rFonts w:ascii="Calibri" w:hAnsi="Calibri" w:cs="Calibri"/>
                      <w:sz w:val="20"/>
                      <w:szCs w:val="20"/>
                      <w:lang w:val="en-AU"/>
                    </w:rPr>
                    <w:t>Reforms needed to other legislation/regulations</w:t>
                  </w:r>
                </w:p>
              </w:tc>
              <w:tc>
                <w:tcPr>
                  <w:tcW w:w="9158" w:type="dxa"/>
                </w:tcPr>
                <w:p w14:paraId="7D71C310"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7888D5AE" w14:textId="77777777" w:rsidTr="00493DCC">
              <w:tc>
                <w:tcPr>
                  <w:tcW w:w="2241" w:type="dxa"/>
                  <w:vMerge/>
                </w:tcPr>
                <w:p w14:paraId="17A2E879" w14:textId="77777777" w:rsidR="00D63B26" w:rsidRPr="00D63B26" w:rsidRDefault="00D63B26" w:rsidP="00D63B26">
                  <w:pPr>
                    <w:spacing w:after="60" w:line="259" w:lineRule="auto"/>
                    <w:rPr>
                      <w:rFonts w:ascii="Calibri" w:hAnsi="Calibri" w:cs="Calibri"/>
                      <w:sz w:val="20"/>
                      <w:szCs w:val="20"/>
                      <w:lang w:val="en-AU"/>
                    </w:rPr>
                  </w:pPr>
                </w:p>
              </w:tc>
              <w:tc>
                <w:tcPr>
                  <w:tcW w:w="9158" w:type="dxa"/>
                </w:tcPr>
                <w:p w14:paraId="5FBD3436"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5A54AF76" w14:textId="77777777" w:rsidTr="00493DCC">
              <w:tc>
                <w:tcPr>
                  <w:tcW w:w="2241" w:type="dxa"/>
                  <w:vMerge/>
                </w:tcPr>
                <w:p w14:paraId="2E9190F7" w14:textId="77777777" w:rsidR="00D63B26" w:rsidRPr="00D63B26" w:rsidRDefault="00D63B26" w:rsidP="00D63B26">
                  <w:pPr>
                    <w:spacing w:after="60" w:line="259" w:lineRule="auto"/>
                    <w:rPr>
                      <w:rFonts w:ascii="Calibri" w:hAnsi="Calibri" w:cs="Calibri"/>
                      <w:sz w:val="20"/>
                      <w:szCs w:val="20"/>
                      <w:lang w:val="en-AU"/>
                    </w:rPr>
                  </w:pPr>
                </w:p>
              </w:tc>
              <w:tc>
                <w:tcPr>
                  <w:tcW w:w="9158" w:type="dxa"/>
                </w:tcPr>
                <w:p w14:paraId="21732B66" w14:textId="77777777" w:rsidR="00D63B26" w:rsidRPr="00210B21" w:rsidRDefault="00D63B26" w:rsidP="00D63B26">
                  <w:pPr>
                    <w:spacing w:after="60" w:line="259" w:lineRule="auto"/>
                    <w:rPr>
                      <w:rFonts w:ascii="Calibri" w:hAnsi="Calibri" w:cs="Calibri"/>
                      <w:sz w:val="20"/>
                      <w:szCs w:val="20"/>
                      <w:lang w:val="en-AU"/>
                    </w:rPr>
                  </w:pPr>
                </w:p>
              </w:tc>
            </w:tr>
            <w:tr w:rsidR="00D63B26" w:rsidRPr="00210B21" w14:paraId="31B9DB45" w14:textId="77777777" w:rsidTr="00493DCC">
              <w:tc>
                <w:tcPr>
                  <w:tcW w:w="2241" w:type="dxa"/>
                  <w:vMerge/>
                </w:tcPr>
                <w:p w14:paraId="7DDC1FAD" w14:textId="77777777" w:rsidR="00D63B26" w:rsidRPr="00D63B26" w:rsidRDefault="00D63B26" w:rsidP="00D63B26">
                  <w:pPr>
                    <w:spacing w:after="60" w:line="259" w:lineRule="auto"/>
                    <w:rPr>
                      <w:rFonts w:ascii="Calibri" w:hAnsi="Calibri" w:cs="Calibri"/>
                      <w:sz w:val="20"/>
                      <w:szCs w:val="20"/>
                      <w:lang w:val="en-AU"/>
                    </w:rPr>
                  </w:pPr>
                </w:p>
              </w:tc>
              <w:tc>
                <w:tcPr>
                  <w:tcW w:w="9158" w:type="dxa"/>
                </w:tcPr>
                <w:p w14:paraId="00B81993" w14:textId="77777777" w:rsidR="00D63B26" w:rsidRPr="00210B21" w:rsidRDefault="00D63B26" w:rsidP="00D63B26">
                  <w:pPr>
                    <w:spacing w:after="60" w:line="259" w:lineRule="auto"/>
                    <w:rPr>
                      <w:rFonts w:ascii="Calibri" w:hAnsi="Calibri" w:cs="Calibri"/>
                      <w:sz w:val="20"/>
                      <w:szCs w:val="20"/>
                      <w:lang w:val="en-AU"/>
                    </w:rPr>
                  </w:pPr>
                </w:p>
              </w:tc>
            </w:tr>
          </w:tbl>
          <w:p w14:paraId="421DA8C1" w14:textId="77777777" w:rsidR="008B7142" w:rsidRPr="00210B21" w:rsidRDefault="008B7142" w:rsidP="008B7142">
            <w:pPr>
              <w:spacing w:after="60" w:line="259" w:lineRule="auto"/>
              <w:rPr>
                <w:rFonts w:ascii="Calibri" w:hAnsi="Calibri" w:cs="Calibri"/>
                <w:sz w:val="20"/>
                <w:szCs w:val="20"/>
                <w:lang w:val="en-AU"/>
              </w:rPr>
            </w:pPr>
          </w:p>
          <w:p w14:paraId="06DFCC6C" w14:textId="77777777" w:rsidR="008B7142" w:rsidRPr="00A83A43" w:rsidRDefault="008B7142" w:rsidP="008B7142">
            <w:pPr>
              <w:spacing w:after="60" w:line="259" w:lineRule="auto"/>
              <w:rPr>
                <w:rFonts w:ascii="Calibri" w:hAnsi="Calibri" w:cs="Calibri"/>
                <w:sz w:val="20"/>
                <w:szCs w:val="20"/>
                <w:lang w:val="en-AU"/>
              </w:rPr>
            </w:pPr>
          </w:p>
        </w:tc>
      </w:tr>
      <w:tr w:rsidR="00C90716" w:rsidRPr="00A83A43" w14:paraId="50D0D43D" w14:textId="77777777" w:rsidTr="00C90716">
        <w:tc>
          <w:tcPr>
            <w:tcW w:w="14596" w:type="dxa"/>
            <w:gridSpan w:val="6"/>
            <w:shd w:val="clear" w:color="auto" w:fill="E7E6E6" w:themeFill="background2"/>
          </w:tcPr>
          <w:p w14:paraId="258CEAAC" w14:textId="77777777" w:rsidR="00C90716" w:rsidRPr="00C90716" w:rsidRDefault="00C90716" w:rsidP="00C90716">
            <w:pPr>
              <w:spacing w:after="60" w:line="259" w:lineRule="auto"/>
              <w:rPr>
                <w:rFonts w:ascii="Calibri" w:hAnsi="Calibri" w:cs="Calibri"/>
                <w:sz w:val="20"/>
                <w:szCs w:val="20"/>
                <w:lang w:val="en-AU"/>
              </w:rPr>
            </w:pPr>
            <w:r w:rsidRPr="00C90716">
              <w:rPr>
                <w:rFonts w:ascii="Calibri" w:hAnsi="Calibri" w:cs="Calibri"/>
                <w:sz w:val="20"/>
                <w:szCs w:val="20"/>
                <w:lang w:val="en-AU"/>
              </w:rPr>
              <w:lastRenderedPageBreak/>
              <w:t>Notes for Follow-up / Further Research / Discussions:</w:t>
            </w:r>
          </w:p>
          <w:p w14:paraId="2A138840" w14:textId="77777777" w:rsidR="00C90716" w:rsidRPr="00C90716" w:rsidRDefault="00C90716" w:rsidP="00C90716">
            <w:pPr>
              <w:spacing w:after="60" w:line="259" w:lineRule="auto"/>
              <w:rPr>
                <w:rFonts w:ascii="Calibri" w:hAnsi="Calibri" w:cs="Calibri"/>
                <w:sz w:val="20"/>
                <w:szCs w:val="20"/>
                <w:lang w:val="en-AU"/>
              </w:rPr>
            </w:pPr>
          </w:p>
          <w:p w14:paraId="4A5EC8D4" w14:textId="77777777" w:rsidR="00C90716" w:rsidRDefault="00C90716" w:rsidP="00C90716">
            <w:pPr>
              <w:spacing w:after="60" w:line="259" w:lineRule="auto"/>
              <w:rPr>
                <w:rFonts w:ascii="Calibri" w:hAnsi="Calibri" w:cs="Calibri"/>
                <w:sz w:val="20"/>
                <w:szCs w:val="20"/>
                <w:lang w:val="en-AU"/>
              </w:rPr>
            </w:pPr>
          </w:p>
          <w:p w14:paraId="3CFD7344" w14:textId="77777777" w:rsidR="00863139" w:rsidRDefault="00863139" w:rsidP="00C90716">
            <w:pPr>
              <w:spacing w:after="60" w:line="259" w:lineRule="auto"/>
              <w:rPr>
                <w:rFonts w:ascii="Calibri" w:hAnsi="Calibri" w:cs="Calibri"/>
                <w:sz w:val="20"/>
                <w:szCs w:val="20"/>
                <w:lang w:val="en-AU"/>
              </w:rPr>
            </w:pPr>
          </w:p>
          <w:p w14:paraId="2CCE4891" w14:textId="77777777" w:rsidR="00863139" w:rsidRDefault="00863139" w:rsidP="00C90716">
            <w:pPr>
              <w:spacing w:after="60" w:line="259" w:lineRule="auto"/>
              <w:rPr>
                <w:rFonts w:ascii="Calibri" w:hAnsi="Calibri" w:cs="Calibri"/>
                <w:sz w:val="20"/>
                <w:szCs w:val="20"/>
                <w:lang w:val="en-AU"/>
              </w:rPr>
            </w:pPr>
          </w:p>
          <w:p w14:paraId="450F9BF1" w14:textId="77777777" w:rsidR="00863139" w:rsidRDefault="00863139" w:rsidP="00C90716">
            <w:pPr>
              <w:spacing w:after="60" w:line="259" w:lineRule="auto"/>
              <w:rPr>
                <w:rFonts w:ascii="Calibri" w:hAnsi="Calibri" w:cs="Calibri"/>
                <w:sz w:val="20"/>
                <w:szCs w:val="20"/>
                <w:lang w:val="en-AU"/>
              </w:rPr>
            </w:pPr>
          </w:p>
          <w:p w14:paraId="24DA807B" w14:textId="77777777" w:rsidR="00863139" w:rsidRDefault="00863139" w:rsidP="00C90716">
            <w:pPr>
              <w:spacing w:after="60" w:line="259" w:lineRule="auto"/>
              <w:rPr>
                <w:rFonts w:ascii="Calibri" w:hAnsi="Calibri" w:cs="Calibri"/>
                <w:sz w:val="20"/>
                <w:szCs w:val="20"/>
                <w:lang w:val="en-AU"/>
              </w:rPr>
            </w:pPr>
          </w:p>
          <w:p w14:paraId="5A1D06C7" w14:textId="77777777" w:rsidR="00863139" w:rsidRDefault="00863139" w:rsidP="00C90716">
            <w:pPr>
              <w:spacing w:after="60" w:line="259" w:lineRule="auto"/>
              <w:rPr>
                <w:rFonts w:ascii="Calibri" w:hAnsi="Calibri" w:cs="Calibri"/>
                <w:sz w:val="20"/>
                <w:szCs w:val="20"/>
                <w:lang w:val="en-AU"/>
              </w:rPr>
            </w:pPr>
          </w:p>
          <w:p w14:paraId="76F62029" w14:textId="77777777" w:rsidR="00863139" w:rsidRDefault="00863139" w:rsidP="00C90716">
            <w:pPr>
              <w:spacing w:after="60" w:line="259" w:lineRule="auto"/>
              <w:rPr>
                <w:rFonts w:ascii="Calibri" w:hAnsi="Calibri" w:cs="Calibri"/>
                <w:sz w:val="20"/>
                <w:szCs w:val="20"/>
                <w:lang w:val="en-AU"/>
              </w:rPr>
            </w:pPr>
          </w:p>
          <w:p w14:paraId="421507DA" w14:textId="77777777" w:rsidR="00863139" w:rsidRDefault="00863139" w:rsidP="00C90716">
            <w:pPr>
              <w:spacing w:after="60" w:line="259" w:lineRule="auto"/>
              <w:rPr>
                <w:rFonts w:ascii="Calibri" w:hAnsi="Calibri" w:cs="Calibri"/>
                <w:sz w:val="20"/>
                <w:szCs w:val="20"/>
                <w:lang w:val="en-AU"/>
              </w:rPr>
            </w:pPr>
          </w:p>
          <w:p w14:paraId="5C95EB5D" w14:textId="77777777" w:rsidR="00863139" w:rsidRDefault="00863139" w:rsidP="00C90716">
            <w:pPr>
              <w:spacing w:after="60" w:line="259" w:lineRule="auto"/>
              <w:rPr>
                <w:rFonts w:ascii="Calibri" w:hAnsi="Calibri" w:cs="Calibri"/>
                <w:sz w:val="20"/>
                <w:szCs w:val="20"/>
                <w:lang w:val="en-AU"/>
              </w:rPr>
            </w:pPr>
          </w:p>
          <w:p w14:paraId="268ACA07" w14:textId="77777777" w:rsidR="00863139" w:rsidRDefault="00863139" w:rsidP="00C90716">
            <w:pPr>
              <w:spacing w:after="60" w:line="259" w:lineRule="auto"/>
              <w:rPr>
                <w:rFonts w:ascii="Calibri" w:hAnsi="Calibri" w:cs="Calibri"/>
                <w:sz w:val="20"/>
                <w:szCs w:val="20"/>
                <w:lang w:val="en-AU"/>
              </w:rPr>
            </w:pPr>
          </w:p>
          <w:p w14:paraId="6B561816" w14:textId="77777777" w:rsidR="00863139" w:rsidRDefault="00863139" w:rsidP="00C90716">
            <w:pPr>
              <w:spacing w:after="60" w:line="259" w:lineRule="auto"/>
              <w:rPr>
                <w:rFonts w:ascii="Calibri" w:hAnsi="Calibri" w:cs="Calibri"/>
                <w:sz w:val="20"/>
                <w:szCs w:val="20"/>
                <w:lang w:val="en-AU"/>
              </w:rPr>
            </w:pPr>
          </w:p>
          <w:p w14:paraId="18E0CC31" w14:textId="77777777" w:rsidR="00863139" w:rsidRDefault="00863139" w:rsidP="00C90716">
            <w:pPr>
              <w:spacing w:after="60" w:line="259" w:lineRule="auto"/>
              <w:rPr>
                <w:rFonts w:ascii="Calibri" w:hAnsi="Calibri" w:cs="Calibri"/>
                <w:sz w:val="20"/>
                <w:szCs w:val="20"/>
                <w:lang w:val="en-AU"/>
              </w:rPr>
            </w:pPr>
          </w:p>
          <w:p w14:paraId="1E5FBD7E" w14:textId="77777777" w:rsidR="00863139" w:rsidRDefault="00863139" w:rsidP="00C90716">
            <w:pPr>
              <w:spacing w:after="60" w:line="259" w:lineRule="auto"/>
              <w:rPr>
                <w:rFonts w:ascii="Calibri" w:hAnsi="Calibri" w:cs="Calibri"/>
                <w:sz w:val="20"/>
                <w:szCs w:val="20"/>
                <w:lang w:val="en-AU"/>
              </w:rPr>
            </w:pPr>
          </w:p>
          <w:p w14:paraId="335BC3A8" w14:textId="77777777" w:rsidR="00863139" w:rsidRDefault="00863139" w:rsidP="00C90716">
            <w:pPr>
              <w:spacing w:after="60" w:line="259" w:lineRule="auto"/>
              <w:rPr>
                <w:rFonts w:ascii="Calibri" w:hAnsi="Calibri" w:cs="Calibri"/>
                <w:sz w:val="20"/>
                <w:szCs w:val="20"/>
                <w:lang w:val="en-AU"/>
              </w:rPr>
            </w:pPr>
          </w:p>
          <w:p w14:paraId="27C97505" w14:textId="77777777" w:rsidR="00863139" w:rsidRDefault="00863139" w:rsidP="00C90716">
            <w:pPr>
              <w:spacing w:after="60" w:line="259" w:lineRule="auto"/>
              <w:rPr>
                <w:rFonts w:ascii="Calibri" w:hAnsi="Calibri" w:cs="Calibri"/>
                <w:sz w:val="20"/>
                <w:szCs w:val="20"/>
                <w:lang w:val="en-AU"/>
              </w:rPr>
            </w:pPr>
          </w:p>
          <w:p w14:paraId="335B1EBF" w14:textId="77777777" w:rsidR="00863139" w:rsidRDefault="00863139" w:rsidP="00C90716">
            <w:pPr>
              <w:spacing w:after="60" w:line="259" w:lineRule="auto"/>
              <w:rPr>
                <w:rFonts w:ascii="Calibri" w:hAnsi="Calibri" w:cs="Calibri"/>
                <w:sz w:val="20"/>
                <w:szCs w:val="20"/>
                <w:lang w:val="en-AU"/>
              </w:rPr>
            </w:pPr>
          </w:p>
          <w:p w14:paraId="16663871" w14:textId="77777777" w:rsidR="00863139" w:rsidRDefault="00863139" w:rsidP="00C90716">
            <w:pPr>
              <w:spacing w:after="60" w:line="259" w:lineRule="auto"/>
              <w:rPr>
                <w:rFonts w:ascii="Calibri" w:hAnsi="Calibri" w:cs="Calibri"/>
                <w:sz w:val="20"/>
                <w:szCs w:val="20"/>
                <w:lang w:val="en-AU"/>
              </w:rPr>
            </w:pPr>
          </w:p>
          <w:p w14:paraId="311A9840" w14:textId="77777777" w:rsidR="00863139" w:rsidRDefault="00863139" w:rsidP="00C90716">
            <w:pPr>
              <w:spacing w:after="60" w:line="259" w:lineRule="auto"/>
              <w:rPr>
                <w:rFonts w:ascii="Calibri" w:hAnsi="Calibri" w:cs="Calibri"/>
                <w:sz w:val="20"/>
                <w:szCs w:val="20"/>
                <w:lang w:val="en-AU"/>
              </w:rPr>
            </w:pPr>
          </w:p>
          <w:p w14:paraId="5CE34260" w14:textId="77777777" w:rsidR="00863139" w:rsidRDefault="00863139" w:rsidP="00C90716">
            <w:pPr>
              <w:spacing w:after="60" w:line="259" w:lineRule="auto"/>
              <w:rPr>
                <w:rFonts w:ascii="Calibri" w:hAnsi="Calibri" w:cs="Calibri"/>
                <w:sz w:val="20"/>
                <w:szCs w:val="20"/>
                <w:lang w:val="en-AU"/>
              </w:rPr>
            </w:pPr>
          </w:p>
          <w:p w14:paraId="735D194E" w14:textId="77777777" w:rsidR="00863139" w:rsidRDefault="00863139" w:rsidP="00C90716">
            <w:pPr>
              <w:spacing w:after="60" w:line="259" w:lineRule="auto"/>
              <w:rPr>
                <w:rFonts w:ascii="Calibri" w:hAnsi="Calibri" w:cs="Calibri"/>
                <w:sz w:val="20"/>
                <w:szCs w:val="20"/>
                <w:lang w:val="en-AU"/>
              </w:rPr>
            </w:pPr>
          </w:p>
          <w:p w14:paraId="119F29B7" w14:textId="77777777" w:rsidR="00863139" w:rsidRDefault="00863139" w:rsidP="00C90716">
            <w:pPr>
              <w:spacing w:after="60" w:line="259" w:lineRule="auto"/>
              <w:rPr>
                <w:rFonts w:ascii="Calibri" w:hAnsi="Calibri" w:cs="Calibri"/>
                <w:sz w:val="20"/>
                <w:szCs w:val="20"/>
                <w:lang w:val="en-AU"/>
              </w:rPr>
            </w:pPr>
          </w:p>
          <w:p w14:paraId="5A6D2A41" w14:textId="77777777" w:rsidR="00863139" w:rsidRDefault="00863139" w:rsidP="00C90716">
            <w:pPr>
              <w:spacing w:after="60" w:line="259" w:lineRule="auto"/>
              <w:rPr>
                <w:rFonts w:ascii="Calibri" w:hAnsi="Calibri" w:cs="Calibri"/>
                <w:sz w:val="20"/>
                <w:szCs w:val="20"/>
                <w:lang w:val="en-AU"/>
              </w:rPr>
            </w:pPr>
          </w:p>
          <w:p w14:paraId="3BFED718" w14:textId="77777777" w:rsidR="00863139" w:rsidRDefault="00863139" w:rsidP="00C90716">
            <w:pPr>
              <w:spacing w:after="60" w:line="259" w:lineRule="auto"/>
              <w:rPr>
                <w:rFonts w:ascii="Calibri" w:hAnsi="Calibri" w:cs="Calibri"/>
                <w:sz w:val="20"/>
                <w:szCs w:val="20"/>
                <w:lang w:val="en-AU"/>
              </w:rPr>
            </w:pPr>
          </w:p>
          <w:p w14:paraId="04DA4395" w14:textId="77777777" w:rsidR="00863139" w:rsidRPr="00C90716" w:rsidRDefault="00863139" w:rsidP="00C90716">
            <w:pPr>
              <w:spacing w:after="60" w:line="259" w:lineRule="auto"/>
              <w:rPr>
                <w:rFonts w:ascii="Calibri" w:hAnsi="Calibri" w:cs="Calibri"/>
                <w:sz w:val="20"/>
                <w:szCs w:val="20"/>
                <w:lang w:val="en-AU"/>
              </w:rPr>
            </w:pPr>
          </w:p>
          <w:p w14:paraId="3DCBDC57" w14:textId="77777777" w:rsidR="00C90716" w:rsidRPr="00A83A43" w:rsidRDefault="00C90716" w:rsidP="008B7142">
            <w:pPr>
              <w:spacing w:after="60" w:line="259" w:lineRule="auto"/>
              <w:rPr>
                <w:rFonts w:ascii="Calibri" w:hAnsi="Calibri" w:cs="Calibri"/>
                <w:sz w:val="20"/>
                <w:szCs w:val="20"/>
                <w:lang w:val="en-AU"/>
              </w:rPr>
            </w:pPr>
          </w:p>
        </w:tc>
      </w:tr>
    </w:tbl>
    <w:p w14:paraId="2AAA06CB" w14:textId="77777777" w:rsidR="00177567" w:rsidRPr="00210B21" w:rsidRDefault="00177567" w:rsidP="002570AE">
      <w:pPr>
        <w:spacing w:after="60" w:line="259" w:lineRule="auto"/>
        <w:rPr>
          <w:rFonts w:ascii="Calibri" w:hAnsi="Calibri" w:cs="Calibri"/>
          <w:sz w:val="20"/>
          <w:szCs w:val="20"/>
          <w:lang w:val="en-AU"/>
        </w:rPr>
      </w:pPr>
    </w:p>
    <w:p w14:paraId="170AFD93" w14:textId="77777777" w:rsidR="00177567" w:rsidRPr="00210B21" w:rsidRDefault="00177567" w:rsidP="002570AE">
      <w:pPr>
        <w:spacing w:after="60" w:line="259" w:lineRule="auto"/>
        <w:rPr>
          <w:rFonts w:ascii="Calibri" w:hAnsi="Calibri" w:cs="Calibri"/>
          <w:sz w:val="20"/>
          <w:szCs w:val="20"/>
          <w:lang w:val="en-AU"/>
        </w:rPr>
      </w:pPr>
    </w:p>
    <w:p w14:paraId="1FB66FC1" w14:textId="457A6C83" w:rsidR="00A96829" w:rsidRDefault="00A96829">
      <w:pPr>
        <w:spacing w:after="160" w:line="259" w:lineRule="auto"/>
        <w:rPr>
          <w:rFonts w:ascii="Calibri" w:eastAsiaTheme="majorEastAsia" w:hAnsi="Calibri" w:cs="Calibri"/>
          <w:b/>
          <w:sz w:val="20"/>
          <w:szCs w:val="20"/>
          <w:highlight w:val="yellow"/>
          <w:lang w:val="en-AU"/>
        </w:rPr>
      </w:pPr>
      <w:bookmarkStart w:id="12" w:name="_Toc137620538"/>
      <w:bookmarkEnd w:id="1"/>
      <w:bookmarkEnd w:id="2"/>
      <w:bookmarkEnd w:id="3"/>
      <w:bookmarkEnd w:id="4"/>
      <w:bookmarkEnd w:id="5"/>
      <w:bookmarkEnd w:id="6"/>
      <w:bookmarkEnd w:id="7"/>
      <w:bookmarkEnd w:id="8"/>
      <w:bookmarkEnd w:id="9"/>
      <w:bookmarkEnd w:id="12"/>
    </w:p>
    <w:sectPr w:rsidR="00A96829" w:rsidSect="009E070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F719" w14:textId="77777777" w:rsidR="002B1EE5" w:rsidRDefault="002B1EE5" w:rsidP="00FA5390">
      <w:r>
        <w:separator/>
      </w:r>
    </w:p>
  </w:endnote>
  <w:endnote w:type="continuationSeparator" w:id="0">
    <w:p w14:paraId="241A7FCB" w14:textId="77777777" w:rsidR="002B1EE5" w:rsidRDefault="002B1EE5"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7C51" w14:textId="77777777" w:rsidR="002B1EE5" w:rsidRDefault="002B1EE5" w:rsidP="00FA5390">
      <w:r>
        <w:separator/>
      </w:r>
    </w:p>
  </w:footnote>
  <w:footnote w:type="continuationSeparator" w:id="0">
    <w:p w14:paraId="78412467" w14:textId="77777777" w:rsidR="002B1EE5" w:rsidRDefault="002B1EE5"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0"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5"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9"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0"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8"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2"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2"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3"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66"/>
  </w:num>
  <w:num w:numId="2" w16cid:durableId="850219362">
    <w:abstractNumId w:val="76"/>
  </w:num>
  <w:num w:numId="3" w16cid:durableId="1089236382">
    <w:abstractNumId w:val="141"/>
  </w:num>
  <w:num w:numId="4" w16cid:durableId="714735919">
    <w:abstractNumId w:val="50"/>
  </w:num>
  <w:num w:numId="5" w16cid:durableId="1097411510">
    <w:abstractNumId w:val="16"/>
  </w:num>
  <w:num w:numId="6" w16cid:durableId="1156645701">
    <w:abstractNumId w:val="119"/>
  </w:num>
  <w:num w:numId="7" w16cid:durableId="652417125">
    <w:abstractNumId w:val="100"/>
  </w:num>
  <w:num w:numId="8" w16cid:durableId="1057626526">
    <w:abstractNumId w:val="94"/>
  </w:num>
  <w:num w:numId="9" w16cid:durableId="1433865237">
    <w:abstractNumId w:val="120"/>
  </w:num>
  <w:num w:numId="10" w16cid:durableId="890964149">
    <w:abstractNumId w:val="90"/>
  </w:num>
  <w:num w:numId="11" w16cid:durableId="1888371291">
    <w:abstractNumId w:val="144"/>
  </w:num>
  <w:num w:numId="12" w16cid:durableId="1607686535">
    <w:abstractNumId w:val="152"/>
  </w:num>
  <w:num w:numId="13" w16cid:durableId="1819027165">
    <w:abstractNumId w:val="116"/>
  </w:num>
  <w:num w:numId="14" w16cid:durableId="657341195">
    <w:abstractNumId w:val="84"/>
  </w:num>
  <w:num w:numId="15" w16cid:durableId="1927762925">
    <w:abstractNumId w:val="17"/>
  </w:num>
  <w:num w:numId="16" w16cid:durableId="1753041342">
    <w:abstractNumId w:val="34"/>
  </w:num>
  <w:num w:numId="17" w16cid:durableId="635186503">
    <w:abstractNumId w:val="43"/>
  </w:num>
  <w:num w:numId="18" w16cid:durableId="228879590">
    <w:abstractNumId w:val="41"/>
  </w:num>
  <w:num w:numId="19" w16cid:durableId="361790718">
    <w:abstractNumId w:val="134"/>
  </w:num>
  <w:num w:numId="20" w16cid:durableId="1942643871">
    <w:abstractNumId w:val="143"/>
  </w:num>
  <w:num w:numId="21" w16cid:durableId="1797723391">
    <w:abstractNumId w:val="127"/>
  </w:num>
  <w:num w:numId="22" w16cid:durableId="323437325">
    <w:abstractNumId w:val="81"/>
  </w:num>
  <w:num w:numId="23" w16cid:durableId="1864974382">
    <w:abstractNumId w:val="2"/>
  </w:num>
  <w:num w:numId="24" w16cid:durableId="1781602375">
    <w:abstractNumId w:val="53"/>
  </w:num>
  <w:num w:numId="25" w16cid:durableId="1412190957">
    <w:abstractNumId w:val="27"/>
  </w:num>
  <w:num w:numId="26" w16cid:durableId="592278463">
    <w:abstractNumId w:val="126"/>
  </w:num>
  <w:num w:numId="27" w16cid:durableId="1118573707">
    <w:abstractNumId w:val="121"/>
  </w:num>
  <w:num w:numId="28" w16cid:durableId="1230336956">
    <w:abstractNumId w:val="83"/>
  </w:num>
  <w:num w:numId="29" w16cid:durableId="654843803">
    <w:abstractNumId w:val="47"/>
  </w:num>
  <w:num w:numId="30" w16cid:durableId="69622369">
    <w:abstractNumId w:val="59"/>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49"/>
  </w:num>
  <w:num w:numId="34" w16cid:durableId="95562587">
    <w:abstractNumId w:val="117"/>
  </w:num>
  <w:num w:numId="35" w16cid:durableId="553663160">
    <w:abstractNumId w:val="44"/>
  </w:num>
  <w:num w:numId="36" w16cid:durableId="1024592858">
    <w:abstractNumId w:val="109"/>
  </w:num>
  <w:num w:numId="37" w16cid:durableId="530917236">
    <w:abstractNumId w:val="70"/>
  </w:num>
  <w:num w:numId="38" w16cid:durableId="830145852">
    <w:abstractNumId w:val="131"/>
  </w:num>
  <w:num w:numId="39" w16cid:durableId="1157460498">
    <w:abstractNumId w:val="106"/>
  </w:num>
  <w:num w:numId="40" w16cid:durableId="234241579">
    <w:abstractNumId w:val="125"/>
  </w:num>
  <w:num w:numId="41" w16cid:durableId="1189560108">
    <w:abstractNumId w:val="97"/>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69"/>
  </w:num>
  <w:num w:numId="44" w16cid:durableId="136535804">
    <w:abstractNumId w:val="56"/>
  </w:num>
  <w:num w:numId="45" w16cid:durableId="860169104">
    <w:abstractNumId w:val="20"/>
  </w:num>
  <w:num w:numId="46" w16cid:durableId="1049497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2"/>
  </w:num>
  <w:num w:numId="48" w16cid:durableId="408776598">
    <w:abstractNumId w:val="10"/>
  </w:num>
  <w:num w:numId="49" w16cid:durableId="1685550550">
    <w:abstractNumId w:val="77"/>
  </w:num>
  <w:num w:numId="50" w16cid:durableId="573206051">
    <w:abstractNumId w:val="142"/>
  </w:num>
  <w:num w:numId="51" w16cid:durableId="154539503">
    <w:abstractNumId w:val="111"/>
  </w:num>
  <w:num w:numId="52" w16cid:durableId="695890782">
    <w:abstractNumId w:val="9"/>
  </w:num>
  <w:num w:numId="53" w16cid:durableId="1160773941">
    <w:abstractNumId w:val="30"/>
  </w:num>
  <w:num w:numId="54" w16cid:durableId="1256788849">
    <w:abstractNumId w:val="102"/>
  </w:num>
  <w:num w:numId="55" w16cid:durableId="1588537573">
    <w:abstractNumId w:val="136"/>
  </w:num>
  <w:num w:numId="56" w16cid:durableId="864290410">
    <w:abstractNumId w:val="63"/>
  </w:num>
  <w:num w:numId="57" w16cid:durableId="88279978">
    <w:abstractNumId w:val="108"/>
  </w:num>
  <w:num w:numId="58" w16cid:durableId="1246843474">
    <w:abstractNumId w:val="13"/>
  </w:num>
  <w:num w:numId="59" w16cid:durableId="1780367569">
    <w:abstractNumId w:val="82"/>
  </w:num>
  <w:num w:numId="60" w16cid:durableId="784039287">
    <w:abstractNumId w:val="113"/>
  </w:num>
  <w:num w:numId="61" w16cid:durableId="878978237">
    <w:abstractNumId w:val="133"/>
  </w:num>
  <w:num w:numId="62" w16cid:durableId="1565413507">
    <w:abstractNumId w:val="118"/>
  </w:num>
  <w:num w:numId="63" w16cid:durableId="1243031294">
    <w:abstractNumId w:val="58"/>
  </w:num>
  <w:num w:numId="64" w16cid:durableId="1439715167">
    <w:abstractNumId w:val="98"/>
  </w:num>
  <w:num w:numId="65" w16cid:durableId="880748614">
    <w:abstractNumId w:val="122"/>
  </w:num>
  <w:num w:numId="66" w16cid:durableId="1416512804">
    <w:abstractNumId w:val="12"/>
  </w:num>
  <w:num w:numId="67" w16cid:durableId="861670728">
    <w:abstractNumId w:val="99"/>
  </w:num>
  <w:num w:numId="68" w16cid:durableId="1342203447">
    <w:abstractNumId w:val="23"/>
  </w:num>
  <w:num w:numId="69" w16cid:durableId="677653698">
    <w:abstractNumId w:val="105"/>
  </w:num>
  <w:num w:numId="70" w16cid:durableId="1372075231">
    <w:abstractNumId w:val="25"/>
  </w:num>
  <w:num w:numId="71" w16cid:durableId="831678079">
    <w:abstractNumId w:val="104"/>
  </w:num>
  <w:num w:numId="72" w16cid:durableId="1464957396">
    <w:abstractNumId w:val="38"/>
  </w:num>
  <w:num w:numId="73" w16cid:durableId="1528517106">
    <w:abstractNumId w:val="148"/>
  </w:num>
  <w:num w:numId="74" w16cid:durableId="1334265008">
    <w:abstractNumId w:val="110"/>
  </w:num>
  <w:num w:numId="75" w16cid:durableId="718669252">
    <w:abstractNumId w:val="95"/>
  </w:num>
  <w:num w:numId="76" w16cid:durableId="1162890948">
    <w:abstractNumId w:val="150"/>
  </w:num>
  <w:num w:numId="77" w16cid:durableId="1718167951">
    <w:abstractNumId w:val="107"/>
  </w:num>
  <w:num w:numId="78" w16cid:durableId="751463801">
    <w:abstractNumId w:val="39"/>
  </w:num>
  <w:num w:numId="79" w16cid:durableId="45953164">
    <w:abstractNumId w:val="45"/>
  </w:num>
  <w:num w:numId="80" w16cid:durableId="525825092">
    <w:abstractNumId w:val="137"/>
  </w:num>
  <w:num w:numId="81" w16cid:durableId="1528057939">
    <w:abstractNumId w:val="80"/>
  </w:num>
  <w:num w:numId="82" w16cid:durableId="1279484401">
    <w:abstractNumId w:val="21"/>
  </w:num>
  <w:num w:numId="83" w16cid:durableId="765803670">
    <w:abstractNumId w:val="67"/>
  </w:num>
  <w:num w:numId="84" w16cid:durableId="875048565">
    <w:abstractNumId w:val="89"/>
  </w:num>
  <w:num w:numId="85" w16cid:durableId="984775842">
    <w:abstractNumId w:val="115"/>
  </w:num>
  <w:num w:numId="86" w16cid:durableId="43606944">
    <w:abstractNumId w:val="149"/>
  </w:num>
  <w:num w:numId="87" w16cid:durableId="585072221">
    <w:abstractNumId w:val="145"/>
  </w:num>
  <w:num w:numId="88" w16cid:durableId="757020187">
    <w:abstractNumId w:val="52"/>
  </w:num>
  <w:num w:numId="89" w16cid:durableId="1538812383">
    <w:abstractNumId w:val="92"/>
  </w:num>
  <w:num w:numId="90" w16cid:durableId="1361931621">
    <w:abstractNumId w:val="0"/>
  </w:num>
  <w:num w:numId="91" w16cid:durableId="143788204">
    <w:abstractNumId w:val="139"/>
  </w:num>
  <w:num w:numId="92" w16cid:durableId="676230770">
    <w:abstractNumId w:val="37"/>
  </w:num>
  <w:num w:numId="93" w16cid:durableId="1241596371">
    <w:abstractNumId w:val="140"/>
  </w:num>
  <w:num w:numId="94" w16cid:durableId="1548567752">
    <w:abstractNumId w:val="151"/>
  </w:num>
  <w:num w:numId="95" w16cid:durableId="1402558652">
    <w:abstractNumId w:val="26"/>
  </w:num>
  <w:num w:numId="96" w16cid:durableId="2070303702">
    <w:abstractNumId w:val="29"/>
  </w:num>
  <w:num w:numId="97" w16cid:durableId="185678758">
    <w:abstractNumId w:val="73"/>
  </w:num>
  <w:num w:numId="98" w16cid:durableId="1606769893">
    <w:abstractNumId w:val="96"/>
  </w:num>
  <w:num w:numId="99" w16cid:durableId="1963029648">
    <w:abstractNumId w:val="24"/>
  </w:num>
  <w:num w:numId="100" w16cid:durableId="570194747">
    <w:abstractNumId w:val="129"/>
  </w:num>
  <w:num w:numId="101" w16cid:durableId="369456501">
    <w:abstractNumId w:val="65"/>
  </w:num>
  <w:num w:numId="102" w16cid:durableId="1191188251">
    <w:abstractNumId w:val="8"/>
  </w:num>
  <w:num w:numId="103" w16cid:durableId="544757811">
    <w:abstractNumId w:val="40"/>
  </w:num>
  <w:num w:numId="104" w16cid:durableId="413745063">
    <w:abstractNumId w:val="72"/>
  </w:num>
  <w:num w:numId="105" w16cid:durableId="1382973262">
    <w:abstractNumId w:val="75"/>
  </w:num>
  <w:num w:numId="106" w16cid:durableId="1016880462">
    <w:abstractNumId w:val="146"/>
  </w:num>
  <w:num w:numId="107" w16cid:durableId="553857888">
    <w:abstractNumId w:val="60"/>
  </w:num>
  <w:num w:numId="108" w16cid:durableId="2044867558">
    <w:abstractNumId w:val="7"/>
  </w:num>
  <w:num w:numId="109" w16cid:durableId="1133328346">
    <w:abstractNumId w:val="91"/>
  </w:num>
  <w:num w:numId="110" w16cid:durableId="1012103998">
    <w:abstractNumId w:val="88"/>
  </w:num>
  <w:num w:numId="111" w16cid:durableId="97144937">
    <w:abstractNumId w:val="28"/>
  </w:num>
  <w:num w:numId="112" w16cid:durableId="687563035">
    <w:abstractNumId w:val="31"/>
  </w:num>
  <w:num w:numId="113" w16cid:durableId="719474674">
    <w:abstractNumId w:val="123"/>
  </w:num>
  <w:num w:numId="114" w16cid:durableId="900943414">
    <w:abstractNumId w:val="42"/>
  </w:num>
  <w:num w:numId="115" w16cid:durableId="1731224033">
    <w:abstractNumId w:val="85"/>
  </w:num>
  <w:num w:numId="116" w16cid:durableId="1965228573">
    <w:abstractNumId w:val="62"/>
  </w:num>
  <w:num w:numId="117" w16cid:durableId="1381586717">
    <w:abstractNumId w:val="61"/>
  </w:num>
  <w:num w:numId="118" w16cid:durableId="1144811215">
    <w:abstractNumId w:val="36"/>
  </w:num>
  <w:num w:numId="119" w16cid:durableId="407533792">
    <w:abstractNumId w:val="6"/>
  </w:num>
  <w:num w:numId="120" w16cid:durableId="836575268">
    <w:abstractNumId w:val="18"/>
  </w:num>
  <w:num w:numId="121" w16cid:durableId="581262007">
    <w:abstractNumId w:val="101"/>
  </w:num>
  <w:num w:numId="122" w16cid:durableId="1862626540">
    <w:abstractNumId w:val="132"/>
  </w:num>
  <w:num w:numId="123" w16cid:durableId="1617639318">
    <w:abstractNumId w:val="64"/>
  </w:num>
  <w:num w:numId="124" w16cid:durableId="1903514318">
    <w:abstractNumId w:val="130"/>
  </w:num>
  <w:num w:numId="125" w16cid:durableId="221067680">
    <w:abstractNumId w:val="57"/>
  </w:num>
  <w:num w:numId="126" w16cid:durableId="960187854">
    <w:abstractNumId w:val="128"/>
  </w:num>
  <w:num w:numId="127" w16cid:durableId="1784034552">
    <w:abstractNumId w:val="68"/>
  </w:num>
  <w:num w:numId="128" w16cid:durableId="832453189">
    <w:abstractNumId w:val="33"/>
  </w:num>
  <w:num w:numId="129" w16cid:durableId="1706441831">
    <w:abstractNumId w:val="1"/>
  </w:num>
  <w:num w:numId="130" w16cid:durableId="600383995">
    <w:abstractNumId w:val="15"/>
  </w:num>
  <w:num w:numId="131" w16cid:durableId="884483691">
    <w:abstractNumId w:val="135"/>
  </w:num>
  <w:num w:numId="132" w16cid:durableId="1627271582">
    <w:abstractNumId w:val="71"/>
  </w:num>
  <w:num w:numId="133" w16cid:durableId="174616572">
    <w:abstractNumId w:val="114"/>
  </w:num>
  <w:num w:numId="134" w16cid:durableId="1268467236">
    <w:abstractNumId w:val="35"/>
  </w:num>
  <w:num w:numId="135" w16cid:durableId="190844220">
    <w:abstractNumId w:val="51"/>
  </w:num>
  <w:num w:numId="136" w16cid:durableId="822821323">
    <w:abstractNumId w:val="22"/>
  </w:num>
  <w:num w:numId="137" w16cid:durableId="1393112347">
    <w:abstractNumId w:val="46"/>
  </w:num>
  <w:num w:numId="138" w16cid:durableId="791049084">
    <w:abstractNumId w:val="55"/>
  </w:num>
  <w:num w:numId="139" w16cid:durableId="1826554644">
    <w:abstractNumId w:val="86"/>
  </w:num>
  <w:num w:numId="140" w16cid:durableId="1526988903">
    <w:abstractNumId w:val="124"/>
  </w:num>
  <w:num w:numId="141" w16cid:durableId="175461428">
    <w:abstractNumId w:val="14"/>
  </w:num>
  <w:num w:numId="142" w16cid:durableId="1277785703">
    <w:abstractNumId w:val="112"/>
  </w:num>
  <w:num w:numId="143" w16cid:durableId="714349303">
    <w:abstractNumId w:val="48"/>
  </w:num>
  <w:num w:numId="144" w16cid:durableId="416943486">
    <w:abstractNumId w:val="19"/>
  </w:num>
  <w:num w:numId="145" w16cid:durableId="999040044">
    <w:abstractNumId w:val="138"/>
  </w:num>
  <w:num w:numId="146" w16cid:durableId="509179860">
    <w:abstractNumId w:val="79"/>
  </w:num>
  <w:num w:numId="147" w16cid:durableId="1601642504">
    <w:abstractNumId w:val="87"/>
  </w:num>
  <w:num w:numId="148" w16cid:durableId="151264177">
    <w:abstractNumId w:val="103"/>
  </w:num>
  <w:num w:numId="149" w16cid:durableId="287324900">
    <w:abstractNumId w:val="11"/>
  </w:num>
  <w:num w:numId="150" w16cid:durableId="704216501">
    <w:abstractNumId w:val="4"/>
  </w:num>
  <w:num w:numId="151" w16cid:durableId="18363675">
    <w:abstractNumId w:val="74"/>
  </w:num>
  <w:num w:numId="152" w16cid:durableId="593055936">
    <w:abstractNumId w:val="93"/>
  </w:num>
  <w:num w:numId="153" w16cid:durableId="467359018">
    <w:abstractNumId w:val="3"/>
  </w:num>
  <w:num w:numId="154" w16cid:durableId="283581766">
    <w:abstractNumId w:val="54"/>
  </w:num>
  <w:num w:numId="155" w16cid:durableId="159273570">
    <w:abstractNumId w:val="78"/>
  </w:num>
  <w:num w:numId="156" w16cid:durableId="196936294">
    <w:abstractNumId w:val="14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52C"/>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ABC"/>
    <w:rsid w:val="00133E17"/>
    <w:rsid w:val="00135ECA"/>
    <w:rsid w:val="00136107"/>
    <w:rsid w:val="001364B9"/>
    <w:rsid w:val="00137990"/>
    <w:rsid w:val="00137EDC"/>
    <w:rsid w:val="00140B21"/>
    <w:rsid w:val="00142670"/>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1EE5"/>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702"/>
    <w:rsid w:val="009E0F8C"/>
    <w:rsid w:val="009E205A"/>
    <w:rsid w:val="009E30ED"/>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7311"/>
    <w:rsid w:val="00DA7C15"/>
    <w:rsid w:val="00DA7F6E"/>
    <w:rsid w:val="00DB07E8"/>
    <w:rsid w:val="00DB15EE"/>
    <w:rsid w:val="00DB1FB7"/>
    <w:rsid w:val="00DB2E20"/>
    <w:rsid w:val="00DB4358"/>
    <w:rsid w:val="00DB55CB"/>
    <w:rsid w:val="00DB75D1"/>
    <w:rsid w:val="00DB7FD2"/>
    <w:rsid w:val="00DC0C49"/>
    <w:rsid w:val="00DC1251"/>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2715"/>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acwasteplus.org/wp-content/uploads/2022/08/GEDSI-in-Design-of-Sustainable-Financing-Scheme-for-Waste-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2023-08-02T07:17:00Z</dcterms:created>
  <dcterms:modified xsi:type="dcterms:W3CDTF">2023-08-02T08:14:00Z</dcterms:modified>
</cp:coreProperties>
</file>